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0C" w:rsidRPr="008951BF" w:rsidRDefault="005E450C" w:rsidP="00BE3083">
      <w:pPr>
        <w:pStyle w:val="BodyTextIndent2"/>
        <w:ind w:left="709"/>
        <w:rPr>
          <w:lang w:val="en-GB"/>
        </w:rPr>
      </w:pPr>
      <w:proofErr w:type="spellStart"/>
      <w:r w:rsidRPr="008951BF">
        <w:rPr>
          <w:lang w:val="en-GB"/>
        </w:rPr>
        <w:t>Incap</w:t>
      </w:r>
      <w:proofErr w:type="spellEnd"/>
      <w:r w:rsidRPr="008951BF">
        <w:rPr>
          <w:lang w:val="en-GB"/>
        </w:rPr>
        <w:t xml:space="preserve"> Corporation</w:t>
      </w:r>
      <w:r w:rsidRPr="008951BF">
        <w:rPr>
          <w:lang w:val="en-GB"/>
        </w:rPr>
        <w:tab/>
      </w:r>
      <w:r w:rsidRPr="008951BF">
        <w:rPr>
          <w:lang w:val="en-GB"/>
        </w:rPr>
        <w:tab/>
      </w:r>
      <w:r w:rsidR="00A0054C" w:rsidRPr="008951BF">
        <w:rPr>
          <w:lang w:val="en-GB"/>
        </w:rPr>
        <w:br/>
      </w:r>
      <w:r w:rsidR="00BC07F6">
        <w:rPr>
          <w:lang w:val="en-GB"/>
        </w:rPr>
        <w:t>Stock Exchange Release</w:t>
      </w:r>
      <w:r w:rsidR="00BC07F6">
        <w:rPr>
          <w:lang w:val="en-GB"/>
        </w:rPr>
        <w:tab/>
      </w:r>
      <w:r w:rsidR="00A466B8" w:rsidRPr="008951BF">
        <w:rPr>
          <w:lang w:val="en-GB"/>
        </w:rPr>
        <w:t xml:space="preserve">         </w:t>
      </w:r>
      <w:r w:rsidR="00BC07F6">
        <w:rPr>
          <w:lang w:val="en-GB"/>
        </w:rPr>
        <w:t>6 August</w:t>
      </w:r>
      <w:r w:rsidR="00A466B8" w:rsidRPr="008951BF">
        <w:rPr>
          <w:lang w:val="en-GB"/>
        </w:rPr>
        <w:t xml:space="preserve"> 2015 </w:t>
      </w:r>
      <w:r w:rsidRPr="008951BF">
        <w:rPr>
          <w:lang w:val="en-GB"/>
        </w:rPr>
        <w:t xml:space="preserve">at </w:t>
      </w:r>
      <w:r w:rsidR="003F0DB5" w:rsidRPr="008951BF">
        <w:rPr>
          <w:lang w:val="en-GB"/>
        </w:rPr>
        <w:t>8</w:t>
      </w:r>
      <w:r w:rsidR="00544829" w:rsidRPr="008951BF">
        <w:rPr>
          <w:lang w:val="en-GB"/>
        </w:rPr>
        <w:t>.30</w:t>
      </w:r>
      <w:r w:rsidR="0076023D" w:rsidRPr="008951BF">
        <w:rPr>
          <w:lang w:val="en-GB"/>
        </w:rPr>
        <w:t xml:space="preserve"> </w:t>
      </w:r>
      <w:proofErr w:type="gramStart"/>
      <w:r w:rsidRPr="008951BF">
        <w:rPr>
          <w:lang w:val="en-GB"/>
        </w:rPr>
        <w:t>am</w:t>
      </w:r>
      <w:proofErr w:type="gramEnd"/>
      <w:r w:rsidRPr="008951BF">
        <w:rPr>
          <w:lang w:val="en-GB"/>
        </w:rPr>
        <w:t xml:space="preserve"> </w:t>
      </w:r>
      <w:r w:rsidR="003F0DB5" w:rsidRPr="008951BF">
        <w:rPr>
          <w:lang w:val="en-GB"/>
        </w:rPr>
        <w:t>(EET)</w:t>
      </w:r>
      <w:r w:rsidRPr="008951BF">
        <w:rPr>
          <w:lang w:val="en-GB"/>
        </w:rPr>
        <w:tab/>
      </w:r>
      <w:r w:rsidRPr="008951BF">
        <w:rPr>
          <w:lang w:val="en-GB"/>
        </w:rPr>
        <w:tab/>
      </w:r>
      <w:r w:rsidRPr="008951BF">
        <w:rPr>
          <w:lang w:val="en-GB"/>
        </w:rPr>
        <w:tab/>
      </w:r>
      <w:r w:rsidRPr="008951BF">
        <w:rPr>
          <w:lang w:val="en-GB"/>
        </w:rPr>
        <w:tab/>
      </w:r>
    </w:p>
    <w:p w:rsidR="005E450C" w:rsidRPr="008951BF" w:rsidRDefault="005E450C" w:rsidP="00BE3083">
      <w:pPr>
        <w:pStyle w:val="BodyTextIndent2"/>
        <w:ind w:left="709"/>
        <w:rPr>
          <w:lang w:val="en-GB"/>
        </w:rPr>
      </w:pPr>
      <w:bookmarkStart w:id="0" w:name="OLE_LINK2"/>
    </w:p>
    <w:bookmarkEnd w:id="0"/>
    <w:p w:rsidR="00A0054C" w:rsidRPr="008951BF" w:rsidRDefault="00A0054C" w:rsidP="00BE3083">
      <w:pPr>
        <w:pStyle w:val="BodyTextIndent2"/>
        <w:ind w:left="709"/>
        <w:rPr>
          <w:b/>
          <w:highlight w:val="lightGray"/>
          <w:lang w:val="en-GB"/>
        </w:rPr>
      </w:pPr>
    </w:p>
    <w:p w:rsidR="009B1F2A" w:rsidRDefault="005E450C" w:rsidP="00BE3083">
      <w:pPr>
        <w:pStyle w:val="BodyTextIndent2"/>
        <w:ind w:left="709"/>
        <w:rPr>
          <w:b/>
          <w:lang w:val="en-GB"/>
        </w:rPr>
      </w:pPr>
      <w:r w:rsidRPr="008951BF">
        <w:rPr>
          <w:b/>
          <w:lang w:val="en-GB"/>
        </w:rPr>
        <w:t>INCAP G</w:t>
      </w:r>
      <w:r w:rsidR="00DF0FE9" w:rsidRPr="008951BF">
        <w:rPr>
          <w:b/>
          <w:lang w:val="en-GB"/>
        </w:rPr>
        <w:t xml:space="preserve">ROUP </w:t>
      </w:r>
      <w:r w:rsidR="00BC07F6">
        <w:rPr>
          <w:b/>
          <w:lang w:val="en-GB"/>
        </w:rPr>
        <w:t>INTERIM REPORT JANUARY-JUNE 2015</w:t>
      </w:r>
      <w:bookmarkStart w:id="1" w:name="OLE_LINK10"/>
      <w:bookmarkStart w:id="2" w:name="OLE_LINK11"/>
      <w:r w:rsidR="00A466B8" w:rsidRPr="008951BF">
        <w:rPr>
          <w:b/>
          <w:lang w:val="en-GB"/>
        </w:rPr>
        <w:t xml:space="preserve"> (UNAUDITED)</w:t>
      </w:r>
      <w:r w:rsidR="00B64FA2">
        <w:rPr>
          <w:b/>
          <w:lang w:val="en-GB"/>
        </w:rPr>
        <w:t xml:space="preserve">: </w:t>
      </w:r>
      <w:r w:rsidR="00BC07F6">
        <w:rPr>
          <w:b/>
          <w:lang w:val="en-GB"/>
        </w:rPr>
        <w:t xml:space="preserve">REVENUE AND PROFIT </w:t>
      </w:r>
      <w:r w:rsidR="00BC07F6" w:rsidRPr="00BF763D">
        <w:rPr>
          <w:b/>
          <w:lang w:val="en-GB"/>
        </w:rPr>
        <w:t>CONTINUED STRONG GROWTH</w:t>
      </w:r>
    </w:p>
    <w:p w:rsidR="00480E83" w:rsidRPr="008951BF" w:rsidRDefault="00480E83" w:rsidP="00BE3083">
      <w:pPr>
        <w:pStyle w:val="BodyTextIndent2"/>
        <w:ind w:left="709"/>
        <w:rPr>
          <w:lang w:val="en-GB"/>
        </w:rPr>
      </w:pPr>
    </w:p>
    <w:p w:rsidR="00F22FE5" w:rsidRPr="00DC019E" w:rsidRDefault="00F22FE5" w:rsidP="00BE3083">
      <w:pPr>
        <w:pStyle w:val="BodyTextIndent2"/>
        <w:ind w:left="709"/>
        <w:rPr>
          <w:b/>
          <w:i/>
          <w:lang w:val="en-GB"/>
        </w:rPr>
      </w:pPr>
      <w:r w:rsidRPr="00DC019E">
        <w:rPr>
          <w:b/>
          <w:i/>
          <w:lang w:val="en-GB"/>
        </w:rPr>
        <w:t xml:space="preserve">The revenue of </w:t>
      </w:r>
      <w:proofErr w:type="spellStart"/>
      <w:r w:rsidRPr="00DC019E">
        <w:rPr>
          <w:b/>
          <w:i/>
          <w:lang w:val="en-GB"/>
        </w:rPr>
        <w:t>Incap</w:t>
      </w:r>
      <w:proofErr w:type="spellEnd"/>
      <w:r w:rsidRPr="00DC019E">
        <w:rPr>
          <w:b/>
          <w:i/>
          <w:lang w:val="en-GB"/>
        </w:rPr>
        <w:t xml:space="preserve"> Group increased by 63% </w:t>
      </w:r>
      <w:r w:rsidR="0021069B" w:rsidRPr="00DC019E">
        <w:rPr>
          <w:b/>
          <w:i/>
          <w:lang w:val="en-GB"/>
        </w:rPr>
        <w:t>on the</w:t>
      </w:r>
      <w:r w:rsidRPr="00DC019E">
        <w:rPr>
          <w:b/>
          <w:i/>
          <w:lang w:val="en-GB"/>
        </w:rPr>
        <w:t xml:space="preserve"> corresponding period </w:t>
      </w:r>
      <w:r w:rsidR="00BF763D" w:rsidRPr="00DC019E">
        <w:rPr>
          <w:b/>
          <w:i/>
          <w:lang w:val="en-GB"/>
        </w:rPr>
        <w:t>last year</w:t>
      </w:r>
      <w:r w:rsidRPr="00DC019E">
        <w:rPr>
          <w:b/>
          <w:i/>
          <w:lang w:val="en-GB"/>
        </w:rPr>
        <w:t xml:space="preserve"> </w:t>
      </w:r>
      <w:r w:rsidR="0021069B" w:rsidRPr="00DC019E">
        <w:rPr>
          <w:b/>
          <w:i/>
          <w:lang w:val="en-GB"/>
        </w:rPr>
        <w:t>to</w:t>
      </w:r>
      <w:r w:rsidRPr="00DC019E">
        <w:rPr>
          <w:b/>
          <w:i/>
          <w:lang w:val="en-GB"/>
        </w:rPr>
        <w:t xml:space="preserve"> EUR 13.3 million. Also p</w:t>
      </w:r>
      <w:r w:rsidR="00B64FA2" w:rsidRPr="00DC019E">
        <w:rPr>
          <w:b/>
          <w:i/>
          <w:lang w:val="en-GB"/>
        </w:rPr>
        <w:t xml:space="preserve">rofitability </w:t>
      </w:r>
      <w:r w:rsidRPr="00DC019E">
        <w:rPr>
          <w:b/>
          <w:i/>
          <w:lang w:val="en-GB"/>
        </w:rPr>
        <w:t xml:space="preserve">improved further and operating profit amounted to EUR 1.5 million. The outlook of the company is good, and both the Group’s revenue and operating profit are estimated to exceed clearly the level of previous year. The financing position of the company has improved </w:t>
      </w:r>
      <w:r w:rsidR="00BF763D" w:rsidRPr="00DC019E">
        <w:rPr>
          <w:b/>
          <w:i/>
          <w:lang w:val="en-GB"/>
        </w:rPr>
        <w:t>as a result of</w:t>
      </w:r>
      <w:r w:rsidRPr="00DC019E">
        <w:rPr>
          <w:b/>
          <w:i/>
          <w:lang w:val="en-GB"/>
        </w:rPr>
        <w:t xml:space="preserve"> enhanced profitability and the successful rights issue. </w:t>
      </w:r>
    </w:p>
    <w:p w:rsidR="00F22FE5" w:rsidRDefault="00F22FE5" w:rsidP="00BE3083">
      <w:pPr>
        <w:pStyle w:val="BodyTextIndent2"/>
        <w:ind w:left="709"/>
        <w:rPr>
          <w:b/>
          <w:lang w:val="en-GB"/>
        </w:rPr>
      </w:pPr>
    </w:p>
    <w:p w:rsidR="00F923C3" w:rsidRPr="008951BF" w:rsidRDefault="00F923C3" w:rsidP="00BE3083">
      <w:pPr>
        <w:pStyle w:val="BodyTextIndent2"/>
        <w:ind w:left="709"/>
        <w:rPr>
          <w:b/>
          <w:lang w:val="en-US"/>
        </w:rPr>
      </w:pPr>
    </w:p>
    <w:p w:rsidR="00396ABD" w:rsidRPr="00A47933" w:rsidRDefault="003F0DB5" w:rsidP="00BE3083">
      <w:pPr>
        <w:pStyle w:val="BodyTextIndent2"/>
        <w:ind w:left="0" w:firstLine="709"/>
        <w:rPr>
          <w:b/>
          <w:lang w:val="en-GB"/>
        </w:rPr>
      </w:pPr>
      <w:r w:rsidRPr="00A47933">
        <w:rPr>
          <w:b/>
          <w:lang w:val="en-GB"/>
        </w:rPr>
        <w:t>Key figures</w:t>
      </w:r>
      <w:r w:rsidR="00042C39" w:rsidRPr="00A47933">
        <w:rPr>
          <w:b/>
          <w:lang w:val="en-GB"/>
        </w:rPr>
        <w:t xml:space="preserve"> in January-</w:t>
      </w:r>
      <w:r w:rsidR="00F22FE5">
        <w:rPr>
          <w:b/>
          <w:lang w:val="en-GB"/>
        </w:rPr>
        <w:t>June</w:t>
      </w:r>
      <w:r w:rsidRPr="00A47933">
        <w:rPr>
          <w:b/>
          <w:lang w:val="en-GB"/>
        </w:rPr>
        <w:t xml:space="preserve"> </w:t>
      </w:r>
      <w:r w:rsidR="00042C39" w:rsidRPr="00A47933">
        <w:rPr>
          <w:b/>
          <w:lang w:val="en-GB"/>
        </w:rPr>
        <w:t>201</w:t>
      </w:r>
      <w:r w:rsidR="006F5696">
        <w:rPr>
          <w:b/>
          <w:lang w:val="en-GB"/>
        </w:rPr>
        <w:t>5</w:t>
      </w:r>
      <w:bookmarkStart w:id="3" w:name="_GoBack"/>
      <w:bookmarkEnd w:id="3"/>
    </w:p>
    <w:p w:rsidR="00A466B8" w:rsidRPr="00A47933" w:rsidRDefault="00BE3083" w:rsidP="00BE3083">
      <w:pPr>
        <w:pStyle w:val="ListParagraph"/>
        <w:numPr>
          <w:ilvl w:val="0"/>
          <w:numId w:val="24"/>
        </w:numPr>
        <w:tabs>
          <w:tab w:val="num" w:pos="1134"/>
        </w:tabs>
        <w:rPr>
          <w:rFonts w:cs="Arial"/>
          <w:lang w:val="en-US"/>
        </w:rPr>
      </w:pPr>
      <w:r w:rsidRPr="00A47933">
        <w:rPr>
          <w:rFonts w:cs="Arial"/>
          <w:lang w:val="en-US"/>
        </w:rPr>
        <w:t xml:space="preserve">The Group’s revenue </w:t>
      </w:r>
      <w:r w:rsidR="00F22FE5">
        <w:rPr>
          <w:rFonts w:cs="Arial"/>
          <w:lang w:val="en-US"/>
        </w:rPr>
        <w:t xml:space="preserve">in January-June 2015 grew by 63% </w:t>
      </w:r>
      <w:r w:rsidR="00830E59">
        <w:rPr>
          <w:rFonts w:cs="Arial"/>
          <w:lang w:val="en-US"/>
        </w:rPr>
        <w:t>on corresponding period last year</w:t>
      </w:r>
      <w:r w:rsidR="00F22FE5">
        <w:rPr>
          <w:rFonts w:cs="Arial"/>
          <w:lang w:val="en-US"/>
        </w:rPr>
        <w:t>, amounting to EUR 13.3 million (1-6/2014: EUR 8.2 million)</w:t>
      </w:r>
      <w:r w:rsidRPr="00A47933">
        <w:rPr>
          <w:rFonts w:cs="Arial"/>
          <w:lang w:val="en-US"/>
        </w:rPr>
        <w:t>.</w:t>
      </w:r>
      <w:r w:rsidR="00A466B8" w:rsidRPr="00A47933">
        <w:rPr>
          <w:rFonts w:cs="Arial"/>
          <w:lang w:val="en-US"/>
        </w:rPr>
        <w:t xml:space="preserve"> </w:t>
      </w:r>
    </w:p>
    <w:p w:rsidR="00F22FE5" w:rsidRDefault="00BE3083" w:rsidP="00BE3083">
      <w:pPr>
        <w:pStyle w:val="ListParagraph"/>
        <w:numPr>
          <w:ilvl w:val="0"/>
          <w:numId w:val="24"/>
        </w:numPr>
        <w:tabs>
          <w:tab w:val="num" w:pos="1134"/>
        </w:tabs>
        <w:rPr>
          <w:rFonts w:cs="Arial"/>
          <w:lang w:val="en-US"/>
        </w:rPr>
      </w:pPr>
      <w:r w:rsidRPr="00F22FE5">
        <w:rPr>
          <w:rFonts w:cs="Arial"/>
          <w:lang w:val="en-US"/>
        </w:rPr>
        <w:t xml:space="preserve">The Group’s operating profit </w:t>
      </w:r>
      <w:r w:rsidR="00A466B8" w:rsidRPr="00F22FE5">
        <w:rPr>
          <w:rFonts w:cs="Arial"/>
          <w:lang w:val="en-US"/>
        </w:rPr>
        <w:t xml:space="preserve">(EBIT) </w:t>
      </w:r>
      <w:r w:rsidRPr="00F22FE5">
        <w:rPr>
          <w:rFonts w:cs="Arial"/>
          <w:lang w:val="en-US"/>
        </w:rPr>
        <w:t xml:space="preserve">improved clearly </w:t>
      </w:r>
      <w:r w:rsidR="00830E59">
        <w:rPr>
          <w:rFonts w:cs="Arial"/>
          <w:lang w:val="en-US"/>
        </w:rPr>
        <w:t>on</w:t>
      </w:r>
      <w:r w:rsidRPr="00F22FE5">
        <w:rPr>
          <w:rFonts w:cs="Arial"/>
          <w:lang w:val="en-US"/>
        </w:rPr>
        <w:t xml:space="preserve"> </w:t>
      </w:r>
      <w:r w:rsidR="00F22FE5" w:rsidRPr="00F22FE5">
        <w:rPr>
          <w:rFonts w:cs="Arial"/>
          <w:lang w:val="en-US"/>
        </w:rPr>
        <w:t xml:space="preserve">corresponding period of </w:t>
      </w:r>
      <w:r w:rsidRPr="00F22FE5">
        <w:rPr>
          <w:rFonts w:cs="Arial"/>
          <w:lang w:val="en-US"/>
        </w:rPr>
        <w:t>previous year and amounted to approximately EUR 1.</w:t>
      </w:r>
      <w:r w:rsidR="00F22FE5" w:rsidRPr="00F22FE5">
        <w:rPr>
          <w:rFonts w:cs="Arial"/>
          <w:lang w:val="en-US"/>
        </w:rPr>
        <w:t>5</w:t>
      </w:r>
      <w:r w:rsidRPr="00F22FE5">
        <w:rPr>
          <w:rFonts w:cs="Arial"/>
          <w:lang w:val="en-US"/>
        </w:rPr>
        <w:t xml:space="preserve"> million (EUR -</w:t>
      </w:r>
      <w:r w:rsidR="00F22FE5" w:rsidRPr="00F22FE5">
        <w:rPr>
          <w:rFonts w:cs="Arial"/>
          <w:lang w:val="en-US"/>
        </w:rPr>
        <w:t>0.1</w:t>
      </w:r>
      <w:r w:rsidRPr="00F22FE5">
        <w:rPr>
          <w:rFonts w:cs="Arial"/>
          <w:lang w:val="en-US"/>
        </w:rPr>
        <w:t xml:space="preserve"> million</w:t>
      </w:r>
      <w:r w:rsidR="00A466B8" w:rsidRPr="00F22FE5">
        <w:rPr>
          <w:rFonts w:cs="Arial"/>
          <w:lang w:val="en-US"/>
        </w:rPr>
        <w:t>)</w:t>
      </w:r>
      <w:r w:rsidR="00F22FE5" w:rsidRPr="00F22FE5">
        <w:rPr>
          <w:rFonts w:cs="Arial"/>
          <w:lang w:val="en-US"/>
        </w:rPr>
        <w:t>, being more than 11% of revenue</w:t>
      </w:r>
      <w:r w:rsidR="00A466B8" w:rsidRPr="00F22FE5">
        <w:rPr>
          <w:rFonts w:cs="Arial"/>
          <w:lang w:val="en-US"/>
        </w:rPr>
        <w:t>.</w:t>
      </w:r>
      <w:r w:rsidRPr="00F22FE5">
        <w:rPr>
          <w:rFonts w:cs="Arial"/>
          <w:lang w:val="en-US"/>
        </w:rPr>
        <w:t xml:space="preserve"> </w:t>
      </w:r>
    </w:p>
    <w:p w:rsidR="00A466B8" w:rsidRPr="00F22FE5" w:rsidRDefault="002A233D" w:rsidP="00BE3083">
      <w:pPr>
        <w:pStyle w:val="ListParagraph"/>
        <w:numPr>
          <w:ilvl w:val="0"/>
          <w:numId w:val="24"/>
        </w:numPr>
        <w:tabs>
          <w:tab w:val="num" w:pos="1134"/>
        </w:tabs>
        <w:rPr>
          <w:rFonts w:cs="Arial"/>
          <w:lang w:val="en-US"/>
        </w:rPr>
      </w:pPr>
      <w:r w:rsidRPr="00F22FE5">
        <w:rPr>
          <w:rFonts w:cs="Arial"/>
          <w:lang w:val="en-US"/>
        </w:rPr>
        <w:t xml:space="preserve">Net profit for the period </w:t>
      </w:r>
      <w:r w:rsidR="00F22FE5">
        <w:rPr>
          <w:rFonts w:cs="Arial"/>
          <w:lang w:val="en-US"/>
        </w:rPr>
        <w:t xml:space="preserve">improved compared with the corresponding period of previous year and amounted to EUR 0.8 million (EUR -0.6 million). </w:t>
      </w:r>
    </w:p>
    <w:p w:rsidR="00A466B8" w:rsidRPr="00A47933" w:rsidRDefault="007D35B7" w:rsidP="0065535F">
      <w:pPr>
        <w:pStyle w:val="ListParagraph"/>
        <w:numPr>
          <w:ilvl w:val="0"/>
          <w:numId w:val="24"/>
        </w:numPr>
        <w:tabs>
          <w:tab w:val="num" w:pos="1134"/>
        </w:tabs>
        <w:rPr>
          <w:rFonts w:cs="Arial"/>
        </w:rPr>
      </w:pPr>
      <w:r w:rsidRPr="00A47933">
        <w:rPr>
          <w:rFonts w:cs="Arial"/>
          <w:lang w:val="en-US"/>
        </w:rPr>
        <w:t>The company</w:t>
      </w:r>
      <w:r w:rsidR="002A233D" w:rsidRPr="00A47933">
        <w:rPr>
          <w:rFonts w:cs="Arial"/>
          <w:lang w:val="en-US"/>
        </w:rPr>
        <w:t xml:space="preserve"> </w:t>
      </w:r>
      <w:r w:rsidR="00F22FE5" w:rsidRPr="00830E59">
        <w:rPr>
          <w:rFonts w:cs="Arial"/>
          <w:lang w:val="en-US"/>
        </w:rPr>
        <w:t>specifies</w:t>
      </w:r>
      <w:r w:rsidR="002A233D" w:rsidRPr="00A47933">
        <w:rPr>
          <w:rFonts w:cs="Arial"/>
          <w:lang w:val="en-US"/>
        </w:rPr>
        <w:t xml:space="preserve"> </w:t>
      </w:r>
      <w:r w:rsidR="00F22FE5">
        <w:rPr>
          <w:rFonts w:cs="Arial"/>
          <w:lang w:val="en-US"/>
        </w:rPr>
        <w:t xml:space="preserve">its previous </w:t>
      </w:r>
      <w:r w:rsidR="00830E59">
        <w:rPr>
          <w:rFonts w:cs="Arial"/>
          <w:lang w:val="en-US"/>
        </w:rPr>
        <w:t>guidance</w:t>
      </w:r>
      <w:r w:rsidR="00F22FE5">
        <w:rPr>
          <w:rFonts w:cs="Arial"/>
          <w:lang w:val="en-US"/>
        </w:rPr>
        <w:t xml:space="preserve"> and estimates that the </w:t>
      </w:r>
      <w:r w:rsidR="002A233D" w:rsidRPr="00A47933">
        <w:rPr>
          <w:rFonts w:cs="Arial"/>
          <w:lang w:val="en-US"/>
        </w:rPr>
        <w:t xml:space="preserve">Group’s revenue </w:t>
      </w:r>
      <w:r w:rsidR="005C7972" w:rsidRPr="00A47933">
        <w:rPr>
          <w:rFonts w:cs="Arial"/>
          <w:lang w:val="en-US"/>
        </w:rPr>
        <w:t xml:space="preserve">and operating profit (EBIT) </w:t>
      </w:r>
      <w:r w:rsidR="002A233D" w:rsidRPr="00A47933">
        <w:rPr>
          <w:rFonts w:cs="Arial"/>
          <w:lang w:val="en-US"/>
        </w:rPr>
        <w:t xml:space="preserve">in 2015 will be </w:t>
      </w:r>
      <w:r w:rsidR="00F22FE5">
        <w:rPr>
          <w:rFonts w:cs="Arial"/>
          <w:lang w:val="en-US"/>
        </w:rPr>
        <w:t xml:space="preserve">clearly </w:t>
      </w:r>
      <w:r w:rsidR="005C7972" w:rsidRPr="00A47933">
        <w:rPr>
          <w:rFonts w:cs="Arial"/>
          <w:lang w:val="en-US"/>
        </w:rPr>
        <w:t xml:space="preserve">higher </w:t>
      </w:r>
      <w:r w:rsidR="002A233D" w:rsidRPr="00A47933">
        <w:rPr>
          <w:rFonts w:cs="Arial"/>
          <w:lang w:val="en-US"/>
        </w:rPr>
        <w:t xml:space="preserve">than in </w:t>
      </w:r>
      <w:r w:rsidR="005C7972" w:rsidRPr="00A47933">
        <w:rPr>
          <w:rFonts w:cs="Arial"/>
          <w:lang w:val="en-US"/>
        </w:rPr>
        <w:t>2014.</w:t>
      </w:r>
    </w:p>
    <w:p w:rsidR="002A233D" w:rsidRPr="008951BF" w:rsidRDefault="002A233D" w:rsidP="00BE3083">
      <w:pPr>
        <w:pStyle w:val="BodyTextIndent2"/>
        <w:ind w:left="0" w:firstLine="720"/>
        <w:rPr>
          <w:b/>
          <w:lang w:val="en-GB"/>
        </w:rPr>
      </w:pPr>
    </w:p>
    <w:p w:rsidR="00A466B8" w:rsidRDefault="00A466B8" w:rsidP="0065535F">
      <w:pPr>
        <w:pStyle w:val="BodyTextIndent2"/>
        <w:rPr>
          <w:lang w:val="en-US"/>
        </w:rPr>
      </w:pPr>
    </w:p>
    <w:p w:rsidR="00A466B8" w:rsidRPr="008951BF" w:rsidRDefault="00A466B8" w:rsidP="0065535F">
      <w:pPr>
        <w:pStyle w:val="BodyTextIndent2"/>
        <w:ind w:left="0" w:firstLine="720"/>
        <w:rPr>
          <w:b/>
          <w:lang w:val="en-GB"/>
        </w:rPr>
      </w:pPr>
      <w:r w:rsidRPr="008951BF">
        <w:rPr>
          <w:b/>
          <w:lang w:val="en-GB"/>
        </w:rPr>
        <w:t xml:space="preserve">The accounting principles for the </w:t>
      </w:r>
      <w:r w:rsidR="00830E59">
        <w:rPr>
          <w:b/>
          <w:lang w:val="en-GB"/>
        </w:rPr>
        <w:t>interim report</w:t>
      </w:r>
    </w:p>
    <w:p w:rsidR="00A466B8" w:rsidRPr="008951BF" w:rsidRDefault="00A466B8" w:rsidP="00A466B8">
      <w:pPr>
        <w:pStyle w:val="BodyTextIndent2"/>
        <w:rPr>
          <w:lang w:val="en-GB"/>
        </w:rPr>
      </w:pPr>
      <w:r w:rsidRPr="008951BF">
        <w:rPr>
          <w:lang w:val="en-GB"/>
        </w:rPr>
        <w:t xml:space="preserve">This </w:t>
      </w:r>
      <w:r w:rsidR="00F22FE5">
        <w:rPr>
          <w:lang w:val="en-GB"/>
        </w:rPr>
        <w:t>interim report</w:t>
      </w:r>
      <w:r w:rsidRPr="008951BF">
        <w:rPr>
          <w:lang w:val="en-GB"/>
        </w:rPr>
        <w:t xml:space="preserve"> has been prepared in accordance with international financial reporting s</w:t>
      </w:r>
      <w:r w:rsidR="00944FC4" w:rsidRPr="008951BF">
        <w:rPr>
          <w:lang w:val="en-GB"/>
        </w:rPr>
        <w:t>tandards (IFRS) -</w:t>
      </w:r>
      <w:r w:rsidRPr="008951BF">
        <w:rPr>
          <w:lang w:val="en-GB"/>
        </w:rPr>
        <w:t xml:space="preserve"> IAS 34 Interim Financial Reporting standard. When preparing the release, the same principles have been used as in the 201</w:t>
      </w:r>
      <w:r w:rsidR="00F22FE5">
        <w:rPr>
          <w:lang w:val="en-GB"/>
        </w:rPr>
        <w:t>4</w:t>
      </w:r>
      <w:r w:rsidRPr="008951BF">
        <w:rPr>
          <w:lang w:val="en-GB"/>
        </w:rPr>
        <w:t xml:space="preserve"> financial statements</w:t>
      </w:r>
      <w:r w:rsidR="0065535F" w:rsidRPr="008951BF">
        <w:rPr>
          <w:lang w:val="en-GB"/>
        </w:rPr>
        <w:t xml:space="preserve">. </w:t>
      </w:r>
      <w:r w:rsidRPr="008951BF">
        <w:rPr>
          <w:lang w:val="en-GB"/>
        </w:rPr>
        <w:t xml:space="preserve">Unless otherwise stated, the comparison figures refer to the same period in the previous year. The information in this </w:t>
      </w:r>
      <w:r w:rsidR="00F22FE5">
        <w:rPr>
          <w:lang w:val="en-GB"/>
        </w:rPr>
        <w:t xml:space="preserve">interim </w:t>
      </w:r>
      <w:r w:rsidRPr="008951BF">
        <w:rPr>
          <w:lang w:val="en-GB"/>
        </w:rPr>
        <w:t>report is unaudited.</w:t>
      </w:r>
    </w:p>
    <w:p w:rsidR="0065535F" w:rsidRPr="008951BF" w:rsidRDefault="0065535F" w:rsidP="00A466B8">
      <w:pPr>
        <w:pStyle w:val="BodyTextIndent2"/>
        <w:rPr>
          <w:lang w:val="en-GB"/>
        </w:rPr>
      </w:pPr>
    </w:p>
    <w:p w:rsidR="0065535F" w:rsidRPr="008951BF" w:rsidRDefault="0065535F" w:rsidP="00A466B8">
      <w:pPr>
        <w:pStyle w:val="BodyTextIndent2"/>
        <w:rPr>
          <w:lang w:val="en-GB"/>
        </w:rPr>
      </w:pPr>
      <w:r w:rsidRPr="008951BF">
        <w:rPr>
          <w:lang w:val="en-GB"/>
        </w:rPr>
        <w:t xml:space="preserve">The figures in the </w:t>
      </w:r>
      <w:r w:rsidR="008C4D25">
        <w:rPr>
          <w:lang w:val="en-GB"/>
        </w:rPr>
        <w:t>interim report</w:t>
      </w:r>
      <w:r w:rsidRPr="008951BF">
        <w:rPr>
          <w:lang w:val="en-GB"/>
        </w:rPr>
        <w:t xml:space="preserve"> release describe the company’s continuing operations, i.e. the business operations of the factories in Estonia and India as well as the parent company without the business operations of the factory in Vaasa</w:t>
      </w:r>
      <w:r w:rsidR="00F22FE5">
        <w:rPr>
          <w:lang w:val="en-GB"/>
        </w:rPr>
        <w:t xml:space="preserve">, which was </w:t>
      </w:r>
      <w:r w:rsidRPr="008951BF">
        <w:rPr>
          <w:lang w:val="en-GB"/>
        </w:rPr>
        <w:t>sold to the local management of the factory</w:t>
      </w:r>
      <w:r w:rsidR="008F1171">
        <w:rPr>
          <w:lang w:val="en-GB"/>
        </w:rPr>
        <w:t xml:space="preserve"> on 31 December 2014</w:t>
      </w:r>
      <w:r w:rsidR="00F22FE5">
        <w:rPr>
          <w:lang w:val="en-GB"/>
        </w:rPr>
        <w:t>.</w:t>
      </w:r>
    </w:p>
    <w:p w:rsidR="002F0014" w:rsidRPr="008951BF" w:rsidRDefault="002F0014" w:rsidP="002F0014">
      <w:pPr>
        <w:pStyle w:val="BodyTextIndent2"/>
        <w:rPr>
          <w:lang w:val="en-GB"/>
        </w:rPr>
      </w:pPr>
    </w:p>
    <w:p w:rsidR="0065535F" w:rsidRPr="008951BF" w:rsidRDefault="0065535F" w:rsidP="0062370E">
      <w:pPr>
        <w:rPr>
          <w:rFonts w:cs="Arial"/>
        </w:rPr>
      </w:pPr>
    </w:p>
    <w:p w:rsidR="0062370E" w:rsidRPr="008F1171" w:rsidRDefault="0062370E" w:rsidP="0065535F">
      <w:pPr>
        <w:ind w:left="709"/>
        <w:rPr>
          <w:rFonts w:cs="Arial"/>
          <w:b/>
        </w:rPr>
      </w:pPr>
      <w:r w:rsidRPr="00402D76">
        <w:rPr>
          <w:rFonts w:cs="Arial"/>
          <w:b/>
        </w:rPr>
        <w:t xml:space="preserve">Ville Vuori, President and CEO of </w:t>
      </w:r>
      <w:proofErr w:type="spellStart"/>
      <w:r w:rsidRPr="00402D76">
        <w:rPr>
          <w:rFonts w:cs="Arial"/>
          <w:b/>
        </w:rPr>
        <w:t>Incap</w:t>
      </w:r>
      <w:proofErr w:type="spellEnd"/>
      <w:r w:rsidRPr="00402D76">
        <w:rPr>
          <w:rFonts w:cs="Arial"/>
          <w:b/>
        </w:rPr>
        <w:t xml:space="preserve"> Group:</w:t>
      </w:r>
      <w:r w:rsidRPr="008F1171">
        <w:rPr>
          <w:rFonts w:cs="Arial"/>
          <w:b/>
        </w:rPr>
        <w:t xml:space="preserve"> </w:t>
      </w:r>
    </w:p>
    <w:p w:rsidR="00645FE9" w:rsidRDefault="00645FE9" w:rsidP="008F1171">
      <w:pPr>
        <w:ind w:left="709"/>
        <w:rPr>
          <w:rFonts w:cs="Arial"/>
          <w:lang w:val="en-US"/>
        </w:rPr>
      </w:pPr>
      <w:r w:rsidRPr="00645FE9">
        <w:rPr>
          <w:rFonts w:cs="Arial"/>
          <w:lang w:val="en-US"/>
        </w:rPr>
        <w:t>”</w:t>
      </w:r>
      <w:r w:rsidR="00830E59">
        <w:rPr>
          <w:rFonts w:cs="Arial"/>
          <w:lang w:val="en-US"/>
        </w:rPr>
        <w:t>By f</w:t>
      </w:r>
      <w:r w:rsidR="00F22FE5">
        <w:rPr>
          <w:rFonts w:cs="Arial"/>
          <w:lang w:val="en-US"/>
        </w:rPr>
        <w:t xml:space="preserve">ocusing on the electronics manufacturing business </w:t>
      </w:r>
      <w:r w:rsidR="00830E59">
        <w:rPr>
          <w:rFonts w:cs="Arial"/>
          <w:lang w:val="en-US"/>
        </w:rPr>
        <w:t>we have achieved</w:t>
      </w:r>
      <w:r w:rsidR="00F22FE5">
        <w:rPr>
          <w:rFonts w:cs="Arial"/>
          <w:lang w:val="en-US"/>
        </w:rPr>
        <w:t xml:space="preserve"> the targeted efficiency improvement both in sales and delivery process. </w:t>
      </w:r>
      <w:r w:rsidR="00BF763D">
        <w:rPr>
          <w:rFonts w:cs="Arial"/>
          <w:lang w:val="en-US"/>
        </w:rPr>
        <w:t>Focusing</w:t>
      </w:r>
      <w:r w:rsidR="00F22FE5">
        <w:rPr>
          <w:rFonts w:cs="Arial"/>
          <w:lang w:val="en-US"/>
        </w:rPr>
        <w:t xml:space="preserve"> has enabled the introduction of a new operational model, which </w:t>
      </w:r>
      <w:r w:rsidR="00830E59">
        <w:rPr>
          <w:rFonts w:cs="Arial"/>
          <w:lang w:val="en-US"/>
        </w:rPr>
        <w:t xml:space="preserve">has been </w:t>
      </w:r>
      <w:r w:rsidR="00BF763D">
        <w:rPr>
          <w:rFonts w:cs="Arial"/>
          <w:lang w:val="en-US"/>
        </w:rPr>
        <w:t xml:space="preserve">very </w:t>
      </w:r>
      <w:r w:rsidR="00830E59">
        <w:rPr>
          <w:rFonts w:cs="Arial"/>
          <w:lang w:val="en-US"/>
        </w:rPr>
        <w:t xml:space="preserve">successfully </w:t>
      </w:r>
      <w:r w:rsidR="007F3283">
        <w:rPr>
          <w:rFonts w:cs="Arial"/>
          <w:lang w:val="en-US"/>
        </w:rPr>
        <w:t>implemented</w:t>
      </w:r>
      <w:r w:rsidR="00830E59">
        <w:rPr>
          <w:rFonts w:cs="Arial"/>
          <w:lang w:val="en-US"/>
        </w:rPr>
        <w:t xml:space="preserve"> by </w:t>
      </w:r>
      <w:r w:rsidR="00F22FE5">
        <w:rPr>
          <w:rFonts w:cs="Arial"/>
          <w:lang w:val="en-US"/>
        </w:rPr>
        <w:t>our organization</w:t>
      </w:r>
      <w:r w:rsidR="00596433">
        <w:rPr>
          <w:rFonts w:cs="Arial"/>
          <w:lang w:val="en-US"/>
        </w:rPr>
        <w:t>.</w:t>
      </w:r>
      <w:r w:rsidR="00F22FE5">
        <w:rPr>
          <w:rFonts w:cs="Arial"/>
          <w:lang w:val="en-US"/>
        </w:rPr>
        <w:t xml:space="preserve"> Both our revenue and profitability show a significant improvement.</w:t>
      </w:r>
    </w:p>
    <w:p w:rsidR="00A35309" w:rsidRDefault="00A35309" w:rsidP="008F1171">
      <w:pPr>
        <w:ind w:left="709"/>
        <w:rPr>
          <w:rFonts w:cs="Arial"/>
          <w:lang w:val="en-US"/>
        </w:rPr>
      </w:pPr>
    </w:p>
    <w:p w:rsidR="00F22FE5" w:rsidRDefault="00F22FE5" w:rsidP="008F1171">
      <w:pPr>
        <w:ind w:left="709"/>
        <w:rPr>
          <w:rFonts w:cs="Arial"/>
          <w:lang w:val="en-US"/>
        </w:rPr>
      </w:pPr>
      <w:r>
        <w:rPr>
          <w:rFonts w:cs="Arial"/>
          <w:lang w:val="en-US"/>
        </w:rPr>
        <w:t>Our sales and</w:t>
      </w:r>
      <w:r w:rsidR="003D08AE">
        <w:rPr>
          <w:rFonts w:cs="Arial"/>
          <w:lang w:val="en-US"/>
        </w:rPr>
        <w:t xml:space="preserve">, accordingly, the </w:t>
      </w:r>
      <w:r>
        <w:rPr>
          <w:rFonts w:cs="Arial"/>
          <w:lang w:val="en-US"/>
        </w:rPr>
        <w:t xml:space="preserve">order intake have </w:t>
      </w:r>
      <w:r w:rsidR="003D08AE">
        <w:rPr>
          <w:rFonts w:cs="Arial"/>
          <w:lang w:val="en-US"/>
        </w:rPr>
        <w:t>proceeded</w:t>
      </w:r>
      <w:r>
        <w:rPr>
          <w:rFonts w:cs="Arial"/>
          <w:lang w:val="en-US"/>
        </w:rPr>
        <w:t xml:space="preserve"> well, and based on the development we </w:t>
      </w:r>
      <w:r w:rsidR="00CF35C0">
        <w:rPr>
          <w:rFonts w:cs="Arial"/>
          <w:lang w:val="en-US"/>
        </w:rPr>
        <w:t>have a reason</w:t>
      </w:r>
      <w:r>
        <w:rPr>
          <w:rFonts w:cs="Arial"/>
          <w:lang w:val="en-US"/>
        </w:rPr>
        <w:t xml:space="preserve"> to</w:t>
      </w:r>
      <w:r w:rsidR="00CF35C0">
        <w:rPr>
          <w:rFonts w:cs="Arial"/>
          <w:lang w:val="en-US"/>
        </w:rPr>
        <w:t xml:space="preserve"> upgrade our previous</w:t>
      </w:r>
      <w:r>
        <w:rPr>
          <w:rFonts w:cs="Arial"/>
          <w:lang w:val="en-US"/>
        </w:rPr>
        <w:t xml:space="preserve"> estimate </w:t>
      </w:r>
      <w:r w:rsidR="00CF35C0">
        <w:rPr>
          <w:rFonts w:cs="Arial"/>
          <w:lang w:val="en-US"/>
        </w:rPr>
        <w:t>on the</w:t>
      </w:r>
      <w:r>
        <w:rPr>
          <w:rFonts w:cs="Arial"/>
          <w:lang w:val="en-US"/>
        </w:rPr>
        <w:t xml:space="preserve"> result for this year.</w:t>
      </w:r>
      <w:r w:rsidR="003D08AE">
        <w:rPr>
          <w:rFonts w:cs="Arial"/>
          <w:lang w:val="en-US"/>
        </w:rPr>
        <w:t xml:space="preserve"> Successful rights issue and improved profitability secure the sufficiency of financing </w:t>
      </w:r>
      <w:r w:rsidR="00CF35C0">
        <w:rPr>
          <w:rFonts w:cs="Arial"/>
          <w:lang w:val="en-US"/>
        </w:rPr>
        <w:t xml:space="preserve">now </w:t>
      </w:r>
      <w:r w:rsidR="003D08AE">
        <w:rPr>
          <w:rFonts w:cs="Arial"/>
          <w:lang w:val="en-US"/>
        </w:rPr>
        <w:t xml:space="preserve">when the business is growing. </w:t>
      </w:r>
    </w:p>
    <w:p w:rsidR="003D08AE" w:rsidRDefault="003D08AE" w:rsidP="008F1171">
      <w:pPr>
        <w:ind w:left="709"/>
        <w:rPr>
          <w:rFonts w:cs="Arial"/>
          <w:lang w:val="en-US"/>
        </w:rPr>
      </w:pPr>
    </w:p>
    <w:p w:rsidR="003D08AE" w:rsidRDefault="007F3283" w:rsidP="008F1171">
      <w:pPr>
        <w:ind w:left="709"/>
        <w:rPr>
          <w:rFonts w:cs="Arial"/>
          <w:lang w:val="en-US"/>
        </w:rPr>
      </w:pPr>
      <w:r>
        <w:rPr>
          <w:rFonts w:cs="Arial"/>
          <w:lang w:val="en-US"/>
        </w:rPr>
        <w:t>I am pleased with o</w:t>
      </w:r>
      <w:r w:rsidR="003D08AE">
        <w:rPr>
          <w:rFonts w:cs="Arial"/>
          <w:lang w:val="en-US"/>
        </w:rPr>
        <w:t>ur performance during the first half of the year</w:t>
      </w:r>
      <w:r>
        <w:rPr>
          <w:rFonts w:cs="Arial"/>
          <w:lang w:val="en-US"/>
        </w:rPr>
        <w:t xml:space="preserve"> and trust on </w:t>
      </w:r>
      <w:r w:rsidR="003D08AE">
        <w:rPr>
          <w:rFonts w:cs="Arial"/>
          <w:lang w:val="en-US"/>
        </w:rPr>
        <w:t xml:space="preserve">our company’s </w:t>
      </w:r>
      <w:r>
        <w:rPr>
          <w:rFonts w:cs="Arial"/>
          <w:lang w:val="en-US"/>
        </w:rPr>
        <w:t>evolution</w:t>
      </w:r>
      <w:r w:rsidR="003D08AE">
        <w:rPr>
          <w:rFonts w:cs="Arial"/>
          <w:lang w:val="en-US"/>
        </w:rPr>
        <w:t xml:space="preserve"> and opportunities on the long run.”</w:t>
      </w:r>
    </w:p>
    <w:p w:rsidR="003D08AE" w:rsidRDefault="003D08AE" w:rsidP="008F1171">
      <w:pPr>
        <w:ind w:left="709"/>
        <w:rPr>
          <w:rFonts w:cs="Arial"/>
          <w:lang w:val="en-US"/>
        </w:rPr>
      </w:pPr>
    </w:p>
    <w:p w:rsidR="0062370E" w:rsidRPr="008951BF" w:rsidRDefault="0062370E" w:rsidP="0065535F">
      <w:pPr>
        <w:ind w:left="709"/>
        <w:rPr>
          <w:rFonts w:cs="Arial"/>
          <w:b/>
        </w:rPr>
      </w:pPr>
      <w:proofErr w:type="spellStart"/>
      <w:r w:rsidRPr="008951BF">
        <w:rPr>
          <w:rFonts w:cs="Arial"/>
          <w:b/>
        </w:rPr>
        <w:lastRenderedPageBreak/>
        <w:t>Incap</w:t>
      </w:r>
      <w:proofErr w:type="spellEnd"/>
      <w:r w:rsidRPr="008951BF">
        <w:rPr>
          <w:rFonts w:cs="Arial"/>
          <w:b/>
        </w:rPr>
        <w:t xml:space="preserve"> Group’s revenue and earnings in </w:t>
      </w:r>
      <w:r w:rsidR="003D08AE">
        <w:rPr>
          <w:rFonts w:cs="Arial"/>
          <w:b/>
        </w:rPr>
        <w:t>January-June 2015</w:t>
      </w:r>
    </w:p>
    <w:p w:rsidR="00470D22" w:rsidRPr="008951BF" w:rsidRDefault="0062370E" w:rsidP="0065535F">
      <w:pPr>
        <w:ind w:left="709"/>
        <w:rPr>
          <w:rFonts w:cs="Arial"/>
        </w:rPr>
      </w:pPr>
      <w:r w:rsidRPr="008951BF">
        <w:rPr>
          <w:rFonts w:cs="Arial"/>
        </w:rPr>
        <w:t xml:space="preserve">Revenue for </w:t>
      </w:r>
      <w:r w:rsidR="00D30037">
        <w:rPr>
          <w:rFonts w:cs="Arial"/>
        </w:rPr>
        <w:t>January-June</w:t>
      </w:r>
      <w:r w:rsidRPr="008951BF">
        <w:rPr>
          <w:rFonts w:cs="Arial"/>
        </w:rPr>
        <w:t xml:space="preserve"> amounted to </w:t>
      </w:r>
      <w:r w:rsidRPr="00661593">
        <w:rPr>
          <w:rFonts w:cs="Arial"/>
        </w:rPr>
        <w:t xml:space="preserve">EUR </w:t>
      </w:r>
      <w:r w:rsidR="00D30037">
        <w:rPr>
          <w:rFonts w:cs="Arial"/>
        </w:rPr>
        <w:t>13.3</w:t>
      </w:r>
      <w:r w:rsidRPr="008951BF">
        <w:rPr>
          <w:rFonts w:cs="Arial"/>
        </w:rPr>
        <w:t xml:space="preserve"> million, </w:t>
      </w:r>
      <w:r w:rsidR="00D30037">
        <w:rPr>
          <w:rFonts w:cs="Arial"/>
        </w:rPr>
        <w:t>up</w:t>
      </w:r>
      <w:r w:rsidRPr="008951BF">
        <w:rPr>
          <w:rFonts w:cs="Arial"/>
        </w:rPr>
        <w:t xml:space="preserve"> approximately </w:t>
      </w:r>
      <w:r w:rsidR="00D30037">
        <w:rPr>
          <w:rFonts w:cs="Arial"/>
        </w:rPr>
        <w:t>63</w:t>
      </w:r>
      <w:r w:rsidRPr="008951BF">
        <w:rPr>
          <w:rFonts w:cs="Arial"/>
        </w:rPr>
        <w:t>% year-on-year</w:t>
      </w:r>
      <w:r w:rsidR="00470D22" w:rsidRPr="008951BF">
        <w:rPr>
          <w:rFonts w:cs="Arial"/>
        </w:rPr>
        <w:t xml:space="preserve"> (</w:t>
      </w:r>
      <w:r w:rsidR="00D30037">
        <w:rPr>
          <w:rFonts w:cs="Arial"/>
        </w:rPr>
        <w:t>1-6</w:t>
      </w:r>
      <w:r w:rsidR="00470D22" w:rsidRPr="008951BF">
        <w:rPr>
          <w:rFonts w:cs="Arial"/>
        </w:rPr>
        <w:t>/201</w:t>
      </w:r>
      <w:r w:rsidR="00D30037">
        <w:rPr>
          <w:rFonts w:cs="Arial"/>
        </w:rPr>
        <w:t>4</w:t>
      </w:r>
      <w:r w:rsidR="00470D22" w:rsidRPr="008951BF">
        <w:rPr>
          <w:rFonts w:cs="Arial"/>
        </w:rPr>
        <w:t xml:space="preserve">: EUR </w:t>
      </w:r>
      <w:r w:rsidR="00D30037">
        <w:rPr>
          <w:rFonts w:cs="Arial"/>
        </w:rPr>
        <w:t>8.2</w:t>
      </w:r>
      <w:r w:rsidR="00470D22" w:rsidRPr="008951BF">
        <w:rPr>
          <w:rFonts w:cs="Arial"/>
        </w:rPr>
        <w:t xml:space="preserve"> million) and approximately </w:t>
      </w:r>
      <w:r w:rsidR="00470D22" w:rsidRPr="00B64233">
        <w:rPr>
          <w:rFonts w:cs="Arial"/>
        </w:rPr>
        <w:t>2</w:t>
      </w:r>
      <w:r w:rsidR="00B64233" w:rsidRPr="00B64233">
        <w:rPr>
          <w:rFonts w:cs="Arial"/>
        </w:rPr>
        <w:t>8</w:t>
      </w:r>
      <w:r w:rsidR="00470D22" w:rsidRPr="00B64233">
        <w:rPr>
          <w:rFonts w:cs="Arial"/>
        </w:rPr>
        <w:t>%</w:t>
      </w:r>
      <w:r w:rsidR="00470D22" w:rsidRPr="008951BF">
        <w:rPr>
          <w:rFonts w:cs="Arial"/>
        </w:rPr>
        <w:t xml:space="preserve"> higher than in the </w:t>
      </w:r>
      <w:r w:rsidR="00D30037">
        <w:rPr>
          <w:rFonts w:cs="Arial"/>
        </w:rPr>
        <w:t>second</w:t>
      </w:r>
      <w:r w:rsidR="00470D22" w:rsidRPr="008951BF">
        <w:rPr>
          <w:rFonts w:cs="Arial"/>
        </w:rPr>
        <w:t xml:space="preserve"> half of the year </w:t>
      </w:r>
      <w:r w:rsidR="00D30037">
        <w:rPr>
          <w:rFonts w:cs="Arial"/>
        </w:rPr>
        <w:t xml:space="preserve">2014 </w:t>
      </w:r>
      <w:r w:rsidR="00470D22" w:rsidRPr="008951BF">
        <w:rPr>
          <w:rFonts w:cs="Arial"/>
        </w:rPr>
        <w:t>(</w:t>
      </w:r>
      <w:r w:rsidR="00D30037">
        <w:rPr>
          <w:rFonts w:cs="Arial"/>
        </w:rPr>
        <w:t>7-12</w:t>
      </w:r>
      <w:r w:rsidR="00470D22" w:rsidRPr="008951BF">
        <w:rPr>
          <w:rFonts w:cs="Arial"/>
        </w:rPr>
        <w:t>/2014</w:t>
      </w:r>
      <w:r w:rsidR="00470D22" w:rsidRPr="00661593">
        <w:rPr>
          <w:rFonts w:cs="Arial"/>
        </w:rPr>
        <w:t xml:space="preserve">: EUR </w:t>
      </w:r>
      <w:r w:rsidR="00D30037">
        <w:rPr>
          <w:rFonts w:cs="Arial"/>
        </w:rPr>
        <w:t>10.3</w:t>
      </w:r>
      <w:r w:rsidR="00470D22" w:rsidRPr="008951BF">
        <w:rPr>
          <w:rFonts w:cs="Arial"/>
        </w:rPr>
        <w:t xml:space="preserve"> million).</w:t>
      </w:r>
      <w:r w:rsidRPr="008951BF">
        <w:rPr>
          <w:rFonts w:cs="Arial"/>
        </w:rPr>
        <w:t xml:space="preserve"> </w:t>
      </w:r>
      <w:r w:rsidR="00A502EC">
        <w:rPr>
          <w:rFonts w:cs="Arial"/>
        </w:rPr>
        <w:t>T</w:t>
      </w:r>
      <w:r w:rsidR="00470D22" w:rsidRPr="008951BF">
        <w:rPr>
          <w:rFonts w:cs="Arial"/>
        </w:rPr>
        <w:t>he r</w:t>
      </w:r>
      <w:r w:rsidRPr="008951BF">
        <w:rPr>
          <w:rFonts w:cs="Arial"/>
        </w:rPr>
        <w:t xml:space="preserve">evenue </w:t>
      </w:r>
      <w:r w:rsidR="00D30037">
        <w:rPr>
          <w:rFonts w:cs="Arial"/>
        </w:rPr>
        <w:t>increased</w:t>
      </w:r>
      <w:r w:rsidRPr="008951BF">
        <w:rPr>
          <w:rFonts w:cs="Arial"/>
        </w:rPr>
        <w:t xml:space="preserve"> </w:t>
      </w:r>
      <w:r w:rsidR="00D30037">
        <w:rPr>
          <w:rFonts w:cs="Arial"/>
        </w:rPr>
        <w:t>mainly due to</w:t>
      </w:r>
      <w:r w:rsidRPr="008951BF">
        <w:rPr>
          <w:rFonts w:cs="Arial"/>
        </w:rPr>
        <w:t xml:space="preserve"> </w:t>
      </w:r>
      <w:r w:rsidR="00CF35C0">
        <w:rPr>
          <w:rFonts w:cs="Arial"/>
        </w:rPr>
        <w:t>strengthening</w:t>
      </w:r>
      <w:r w:rsidR="00470D22" w:rsidRPr="008951BF">
        <w:rPr>
          <w:rFonts w:cs="Arial"/>
        </w:rPr>
        <w:t xml:space="preserve"> demand for the services </w:t>
      </w:r>
      <w:r w:rsidR="00A502EC">
        <w:rPr>
          <w:rFonts w:cs="Arial"/>
        </w:rPr>
        <w:t>of</w:t>
      </w:r>
      <w:r w:rsidR="00470D22" w:rsidRPr="008951BF">
        <w:rPr>
          <w:rFonts w:cs="Arial"/>
        </w:rPr>
        <w:t xml:space="preserve"> the factory in </w:t>
      </w:r>
      <w:r w:rsidR="00D30037">
        <w:rPr>
          <w:rFonts w:cs="Arial"/>
        </w:rPr>
        <w:t>India</w:t>
      </w:r>
      <w:r w:rsidR="00470D22" w:rsidRPr="008951BF">
        <w:rPr>
          <w:rFonts w:cs="Arial"/>
        </w:rPr>
        <w:t xml:space="preserve">. </w:t>
      </w:r>
      <w:r w:rsidR="00D30037">
        <w:rPr>
          <w:rFonts w:cs="Arial"/>
        </w:rPr>
        <w:t xml:space="preserve">New customers were acquired also to the factory in Estonia, </w:t>
      </w:r>
      <w:r w:rsidR="00CF35C0">
        <w:rPr>
          <w:rFonts w:cs="Arial"/>
        </w:rPr>
        <w:t>where</w:t>
      </w:r>
      <w:r w:rsidR="00D30037">
        <w:rPr>
          <w:rFonts w:cs="Arial"/>
        </w:rPr>
        <w:t xml:space="preserve"> the revenue increased </w:t>
      </w:r>
      <w:r w:rsidR="00CF35C0">
        <w:rPr>
          <w:rFonts w:cs="Arial"/>
        </w:rPr>
        <w:t>as intended</w:t>
      </w:r>
      <w:r w:rsidR="00D30037">
        <w:rPr>
          <w:rFonts w:cs="Arial"/>
        </w:rPr>
        <w:t>.</w:t>
      </w:r>
    </w:p>
    <w:p w:rsidR="00470D22" w:rsidRPr="008951BF" w:rsidRDefault="00470D22" w:rsidP="0065535F">
      <w:pPr>
        <w:ind w:left="709"/>
        <w:rPr>
          <w:rFonts w:cs="Arial"/>
        </w:rPr>
      </w:pPr>
    </w:p>
    <w:p w:rsidR="00D30037" w:rsidRDefault="00470D22" w:rsidP="0065535F">
      <w:pPr>
        <w:ind w:left="709"/>
        <w:rPr>
          <w:rFonts w:cs="Arial"/>
        </w:rPr>
      </w:pPr>
      <w:r w:rsidRPr="008951BF">
        <w:rPr>
          <w:rFonts w:cs="Arial"/>
        </w:rPr>
        <w:t xml:space="preserve">The operating profit (EBIT) for the </w:t>
      </w:r>
      <w:r w:rsidR="00D30037">
        <w:rPr>
          <w:rFonts w:cs="Arial"/>
        </w:rPr>
        <w:t>first</w:t>
      </w:r>
      <w:r w:rsidRPr="008951BF">
        <w:rPr>
          <w:rFonts w:cs="Arial"/>
        </w:rPr>
        <w:t xml:space="preserve"> half of the year amounted to EUR 1.</w:t>
      </w:r>
      <w:r w:rsidR="00D30037">
        <w:rPr>
          <w:rFonts w:cs="Arial"/>
        </w:rPr>
        <w:t>5</w:t>
      </w:r>
      <w:r w:rsidRPr="008951BF">
        <w:rPr>
          <w:rFonts w:cs="Arial"/>
        </w:rPr>
        <w:t xml:space="preserve"> million, showing a remarkable </w:t>
      </w:r>
      <w:r w:rsidR="00CF35C0">
        <w:rPr>
          <w:rFonts w:cs="Arial"/>
        </w:rPr>
        <w:t>progress</w:t>
      </w:r>
      <w:r w:rsidRPr="008951BF">
        <w:rPr>
          <w:rFonts w:cs="Arial"/>
        </w:rPr>
        <w:t xml:space="preserve"> when compared with the </w:t>
      </w:r>
      <w:r w:rsidR="00D30037">
        <w:rPr>
          <w:rFonts w:cs="Arial"/>
        </w:rPr>
        <w:t xml:space="preserve">loss in the </w:t>
      </w:r>
      <w:r w:rsidRPr="008951BF">
        <w:rPr>
          <w:rFonts w:cs="Arial"/>
        </w:rPr>
        <w:t>corresponding period in 201</w:t>
      </w:r>
      <w:r w:rsidR="00D30037">
        <w:rPr>
          <w:rFonts w:cs="Arial"/>
        </w:rPr>
        <w:t>4</w:t>
      </w:r>
      <w:r w:rsidRPr="008951BF">
        <w:rPr>
          <w:rFonts w:cs="Arial"/>
        </w:rPr>
        <w:t xml:space="preserve"> (EUR -</w:t>
      </w:r>
      <w:r w:rsidR="00D30037">
        <w:rPr>
          <w:rFonts w:cs="Arial"/>
        </w:rPr>
        <w:t>0.1</w:t>
      </w:r>
      <w:r w:rsidRPr="008951BF">
        <w:rPr>
          <w:rFonts w:cs="Arial"/>
        </w:rPr>
        <w:t xml:space="preserve"> million)</w:t>
      </w:r>
      <w:r w:rsidR="00D30037">
        <w:rPr>
          <w:rFonts w:cs="Arial"/>
        </w:rPr>
        <w:t xml:space="preserve">. Operating profit </w:t>
      </w:r>
      <w:r w:rsidR="00D30037" w:rsidRPr="00CF35C0">
        <w:rPr>
          <w:rFonts w:cs="Arial"/>
        </w:rPr>
        <w:t>improved</w:t>
      </w:r>
      <w:r w:rsidR="00D30037">
        <w:rPr>
          <w:rFonts w:cs="Arial"/>
        </w:rPr>
        <w:t xml:space="preserve"> also compared with the second half of the year 2014, when the operating profit amounted to EUR 1.2 million. The operating profit for the </w:t>
      </w:r>
      <w:r w:rsidR="00C3212A">
        <w:rPr>
          <w:rFonts w:cs="Arial"/>
        </w:rPr>
        <w:t>reporting</w:t>
      </w:r>
      <w:r w:rsidR="00D30037">
        <w:rPr>
          <w:rFonts w:cs="Arial"/>
        </w:rPr>
        <w:t xml:space="preserve"> period was approximately 11.2% out of revenue, which can be considered </w:t>
      </w:r>
      <w:r w:rsidR="00CF35C0">
        <w:rPr>
          <w:rFonts w:cs="Arial"/>
        </w:rPr>
        <w:t xml:space="preserve">as </w:t>
      </w:r>
      <w:r w:rsidR="00D30037">
        <w:rPr>
          <w:rFonts w:cs="Arial"/>
        </w:rPr>
        <w:t xml:space="preserve">a good level in the </w:t>
      </w:r>
      <w:r w:rsidR="00F40F75">
        <w:rPr>
          <w:rFonts w:cs="Arial"/>
        </w:rPr>
        <w:t xml:space="preserve">business for </w:t>
      </w:r>
      <w:r w:rsidR="00D30037">
        <w:rPr>
          <w:rFonts w:cs="Arial"/>
        </w:rPr>
        <w:t xml:space="preserve">electronics manufacturing </w:t>
      </w:r>
      <w:r w:rsidR="00F40F75">
        <w:rPr>
          <w:rFonts w:cs="Arial"/>
        </w:rPr>
        <w:t xml:space="preserve">services </w:t>
      </w:r>
      <w:r w:rsidR="00D30037">
        <w:rPr>
          <w:rFonts w:cs="Arial"/>
        </w:rPr>
        <w:t xml:space="preserve">in general. </w:t>
      </w:r>
    </w:p>
    <w:p w:rsidR="00D30037" w:rsidRDefault="00D30037" w:rsidP="0065535F">
      <w:pPr>
        <w:ind w:left="709"/>
        <w:rPr>
          <w:rFonts w:cs="Arial"/>
        </w:rPr>
      </w:pPr>
    </w:p>
    <w:p w:rsidR="00AD5645" w:rsidRDefault="00D30037" w:rsidP="0065535F">
      <w:pPr>
        <w:ind w:left="709"/>
        <w:rPr>
          <w:rFonts w:cs="Arial"/>
        </w:rPr>
      </w:pPr>
      <w:r>
        <w:rPr>
          <w:rFonts w:cs="Arial"/>
        </w:rPr>
        <w:t xml:space="preserve">In December 2014, </w:t>
      </w:r>
      <w:proofErr w:type="spellStart"/>
      <w:r>
        <w:rPr>
          <w:rFonts w:cs="Arial"/>
        </w:rPr>
        <w:t>Incap</w:t>
      </w:r>
      <w:proofErr w:type="spellEnd"/>
      <w:r>
        <w:rPr>
          <w:rFonts w:cs="Arial"/>
        </w:rPr>
        <w:t xml:space="preserve"> sold the operations of its factory in Vaasa to the local management. The business transaction was finalised in January 2015, when the </w:t>
      </w:r>
      <w:r w:rsidR="00A918AA">
        <w:rPr>
          <w:rFonts w:cs="Arial"/>
        </w:rPr>
        <w:t>sales price</w:t>
      </w:r>
      <w:r>
        <w:rPr>
          <w:rFonts w:cs="Arial"/>
        </w:rPr>
        <w:t xml:space="preserve"> was paid to the company. As a result of </w:t>
      </w:r>
      <w:r w:rsidR="00A918AA">
        <w:rPr>
          <w:rFonts w:cs="Arial"/>
        </w:rPr>
        <w:t>a</w:t>
      </w:r>
      <w:r>
        <w:rPr>
          <w:rFonts w:cs="Arial"/>
        </w:rPr>
        <w:t xml:space="preserve"> change in inventory value in December 2014 the final </w:t>
      </w:r>
      <w:r w:rsidR="00A918AA">
        <w:rPr>
          <w:rFonts w:cs="Arial"/>
        </w:rPr>
        <w:t>sales price</w:t>
      </w:r>
      <w:r>
        <w:rPr>
          <w:rFonts w:cs="Arial"/>
        </w:rPr>
        <w:t xml:space="preserve"> exceeded slightly EUR 1 million.</w:t>
      </w:r>
    </w:p>
    <w:p w:rsidR="00D30037" w:rsidRDefault="00D30037" w:rsidP="0065535F">
      <w:pPr>
        <w:ind w:left="709"/>
        <w:rPr>
          <w:rFonts w:cs="Arial"/>
        </w:rPr>
      </w:pPr>
    </w:p>
    <w:p w:rsidR="00D30037" w:rsidRDefault="00C3212A" w:rsidP="0065535F">
      <w:pPr>
        <w:ind w:left="709"/>
        <w:rPr>
          <w:rFonts w:cs="Arial"/>
        </w:rPr>
      </w:pPr>
      <w:r>
        <w:rPr>
          <w:rFonts w:cs="Arial"/>
        </w:rPr>
        <w:t xml:space="preserve">Despite the strong growth in revenue, </w:t>
      </w:r>
      <w:r w:rsidR="00A918AA">
        <w:rPr>
          <w:rFonts w:cs="Arial"/>
        </w:rPr>
        <w:t>the</w:t>
      </w:r>
      <w:r>
        <w:rPr>
          <w:rFonts w:cs="Arial"/>
        </w:rPr>
        <w:t xml:space="preserve"> personnel expenses in the reporting period</w:t>
      </w:r>
      <w:r w:rsidR="00A918AA">
        <w:rPr>
          <w:rFonts w:cs="Arial"/>
        </w:rPr>
        <w:t xml:space="preserve"> stood at approximately EUR 1.6 million showing only a minor increase on </w:t>
      </w:r>
      <w:r>
        <w:rPr>
          <w:rFonts w:cs="Arial"/>
        </w:rPr>
        <w:t>the corresponding period</w:t>
      </w:r>
      <w:r w:rsidR="00A918AA">
        <w:rPr>
          <w:rFonts w:cs="Arial"/>
        </w:rPr>
        <w:t xml:space="preserve"> </w:t>
      </w:r>
      <w:r>
        <w:rPr>
          <w:rFonts w:cs="Arial"/>
        </w:rPr>
        <w:t>(EUR 1.5 million). Also the growth of inventory value remained moderate.</w:t>
      </w:r>
    </w:p>
    <w:p w:rsidR="00A502EC" w:rsidRPr="008951BF" w:rsidRDefault="00A502EC" w:rsidP="0065535F">
      <w:pPr>
        <w:ind w:left="709"/>
        <w:rPr>
          <w:rFonts w:cs="Arial"/>
        </w:rPr>
      </w:pPr>
    </w:p>
    <w:p w:rsidR="0062370E" w:rsidRPr="008951BF" w:rsidRDefault="0062370E" w:rsidP="0065535F">
      <w:pPr>
        <w:ind w:left="709"/>
        <w:rPr>
          <w:rFonts w:cs="Arial"/>
        </w:rPr>
      </w:pPr>
      <w:r w:rsidRPr="008951BF">
        <w:rPr>
          <w:rFonts w:cs="Arial"/>
        </w:rPr>
        <w:t xml:space="preserve">Net financial expenses amounted to EUR </w:t>
      </w:r>
      <w:r w:rsidR="008F70CF" w:rsidRPr="008951BF">
        <w:rPr>
          <w:rFonts w:cs="Arial"/>
        </w:rPr>
        <w:t>0.</w:t>
      </w:r>
      <w:r w:rsidR="00C3212A">
        <w:rPr>
          <w:rFonts w:cs="Arial"/>
        </w:rPr>
        <w:t>2</w:t>
      </w:r>
      <w:r w:rsidRPr="008951BF">
        <w:rPr>
          <w:rFonts w:cs="Arial"/>
        </w:rPr>
        <w:t xml:space="preserve"> million (EUR </w:t>
      </w:r>
      <w:r w:rsidR="00C3212A">
        <w:rPr>
          <w:rFonts w:cs="Arial"/>
        </w:rPr>
        <w:t>0.5</w:t>
      </w:r>
      <w:r w:rsidRPr="008951BF">
        <w:rPr>
          <w:rFonts w:cs="Arial"/>
        </w:rPr>
        <w:t xml:space="preserve"> million)</w:t>
      </w:r>
      <w:r w:rsidR="008F70CF" w:rsidRPr="008951BF">
        <w:rPr>
          <w:rFonts w:cs="Arial"/>
        </w:rPr>
        <w:t xml:space="preserve">. </w:t>
      </w:r>
      <w:r w:rsidR="00D04DD9" w:rsidRPr="008951BF">
        <w:rPr>
          <w:rFonts w:cs="Arial"/>
        </w:rPr>
        <w:t xml:space="preserve">Depreciation </w:t>
      </w:r>
      <w:r w:rsidR="00A918AA">
        <w:rPr>
          <w:rFonts w:cs="Arial"/>
        </w:rPr>
        <w:t>was</w:t>
      </w:r>
      <w:r w:rsidR="008F70CF" w:rsidRPr="008951BF">
        <w:rPr>
          <w:rFonts w:cs="Arial"/>
        </w:rPr>
        <w:t xml:space="preserve"> EUR 0.</w:t>
      </w:r>
      <w:r w:rsidR="00C3212A">
        <w:rPr>
          <w:rFonts w:cs="Arial"/>
        </w:rPr>
        <w:t>2</w:t>
      </w:r>
      <w:r w:rsidR="008F70CF" w:rsidRPr="008951BF">
        <w:rPr>
          <w:rFonts w:cs="Arial"/>
        </w:rPr>
        <w:t xml:space="preserve"> million (EUR </w:t>
      </w:r>
      <w:r w:rsidR="00C3212A">
        <w:rPr>
          <w:rFonts w:cs="Arial"/>
        </w:rPr>
        <w:t>0.2</w:t>
      </w:r>
      <w:r w:rsidR="008F70CF" w:rsidRPr="008951BF">
        <w:rPr>
          <w:rFonts w:cs="Arial"/>
        </w:rPr>
        <w:t xml:space="preserve"> million)</w:t>
      </w:r>
      <w:r w:rsidR="0011354A" w:rsidRPr="008951BF">
        <w:rPr>
          <w:rFonts w:cs="Arial"/>
        </w:rPr>
        <w:t xml:space="preserve">. </w:t>
      </w:r>
    </w:p>
    <w:p w:rsidR="0062370E" w:rsidRPr="008951BF" w:rsidRDefault="0062370E" w:rsidP="0065535F">
      <w:pPr>
        <w:ind w:left="709"/>
        <w:rPr>
          <w:rFonts w:cs="Arial"/>
        </w:rPr>
      </w:pPr>
      <w:r w:rsidRPr="008951BF">
        <w:rPr>
          <w:rFonts w:cs="Arial"/>
        </w:rPr>
        <w:t xml:space="preserve"> </w:t>
      </w:r>
    </w:p>
    <w:p w:rsidR="0062370E" w:rsidRPr="008951BF" w:rsidRDefault="0062370E" w:rsidP="0065535F">
      <w:pPr>
        <w:ind w:left="709"/>
        <w:rPr>
          <w:rFonts w:cs="Arial"/>
        </w:rPr>
      </w:pPr>
      <w:r w:rsidRPr="008951BF">
        <w:rPr>
          <w:rFonts w:cs="Arial"/>
        </w:rPr>
        <w:t xml:space="preserve">Net profit for the </w:t>
      </w:r>
      <w:r w:rsidR="00C3212A">
        <w:rPr>
          <w:rFonts w:cs="Arial"/>
        </w:rPr>
        <w:t xml:space="preserve">reporting </w:t>
      </w:r>
      <w:r w:rsidRPr="008951BF">
        <w:rPr>
          <w:rFonts w:cs="Arial"/>
        </w:rPr>
        <w:t xml:space="preserve">period was EUR </w:t>
      </w:r>
      <w:r w:rsidR="0011354A" w:rsidRPr="008951BF">
        <w:rPr>
          <w:rFonts w:cs="Arial"/>
        </w:rPr>
        <w:t>0.</w:t>
      </w:r>
      <w:r w:rsidR="00C3212A">
        <w:rPr>
          <w:rFonts w:cs="Arial"/>
        </w:rPr>
        <w:t>8</w:t>
      </w:r>
      <w:r w:rsidRPr="008951BF">
        <w:rPr>
          <w:rFonts w:cs="Arial"/>
        </w:rPr>
        <w:t xml:space="preserve"> million (</w:t>
      </w:r>
      <w:r w:rsidR="0011354A" w:rsidRPr="008951BF">
        <w:rPr>
          <w:rFonts w:cs="Arial"/>
        </w:rPr>
        <w:t xml:space="preserve">loss </w:t>
      </w:r>
      <w:r w:rsidRPr="008951BF">
        <w:rPr>
          <w:rFonts w:cs="Arial"/>
        </w:rPr>
        <w:t>EUR -</w:t>
      </w:r>
      <w:r w:rsidR="00C3212A">
        <w:rPr>
          <w:rFonts w:cs="Arial"/>
        </w:rPr>
        <w:t>0.6</w:t>
      </w:r>
      <w:r w:rsidRPr="008951BF">
        <w:rPr>
          <w:rFonts w:cs="Arial"/>
        </w:rPr>
        <w:t xml:space="preserve"> million). Earnings</w:t>
      </w:r>
      <w:r w:rsidR="0011354A" w:rsidRPr="008951BF">
        <w:rPr>
          <w:rFonts w:cs="Arial"/>
        </w:rPr>
        <w:t xml:space="preserve"> per share </w:t>
      </w:r>
      <w:r w:rsidR="008157E3">
        <w:rPr>
          <w:rFonts w:cs="Arial"/>
        </w:rPr>
        <w:t>were</w:t>
      </w:r>
      <w:r w:rsidR="0011354A" w:rsidRPr="008951BF">
        <w:rPr>
          <w:rFonts w:cs="Arial"/>
        </w:rPr>
        <w:t xml:space="preserve"> EUR 0.0</w:t>
      </w:r>
      <w:r w:rsidR="00C3212A">
        <w:rPr>
          <w:rFonts w:cs="Arial"/>
        </w:rPr>
        <w:t>1</w:t>
      </w:r>
      <w:r w:rsidRPr="008951BF">
        <w:rPr>
          <w:rFonts w:cs="Arial"/>
        </w:rPr>
        <w:t xml:space="preserve"> (EUR -0.</w:t>
      </w:r>
      <w:r w:rsidR="00C3212A">
        <w:rPr>
          <w:rFonts w:cs="Arial"/>
        </w:rPr>
        <w:t>01</w:t>
      </w:r>
      <w:r w:rsidRPr="008951BF">
        <w:rPr>
          <w:rFonts w:cs="Arial"/>
        </w:rPr>
        <w:t xml:space="preserve">).  </w:t>
      </w:r>
    </w:p>
    <w:p w:rsidR="000C0FC4" w:rsidRPr="008951BF" w:rsidRDefault="000C0FC4" w:rsidP="0065535F">
      <w:pPr>
        <w:ind w:left="709"/>
        <w:rPr>
          <w:rFonts w:cs="Arial"/>
        </w:rPr>
      </w:pPr>
    </w:p>
    <w:p w:rsidR="000C0FC4" w:rsidRPr="008951BF" w:rsidRDefault="000C0FC4" w:rsidP="0065535F">
      <w:pPr>
        <w:ind w:left="709"/>
        <w:rPr>
          <w:rFonts w:cs="Arial"/>
        </w:rPr>
      </w:pPr>
    </w:p>
    <w:p w:rsidR="000C0FC4" w:rsidRPr="008951BF" w:rsidRDefault="000C0FC4" w:rsidP="0065535F">
      <w:pPr>
        <w:ind w:left="709"/>
        <w:rPr>
          <w:rFonts w:cs="Arial"/>
        </w:rPr>
      </w:pPr>
    </w:p>
    <w:tbl>
      <w:tblPr>
        <w:tblW w:w="8930" w:type="dxa"/>
        <w:tblInd w:w="817" w:type="dxa"/>
        <w:tblBorders>
          <w:insideH w:val="single" w:sz="18" w:space="0" w:color="FFFFFF"/>
          <w:insideV w:val="single" w:sz="18" w:space="0" w:color="FFFFFF"/>
        </w:tblBorders>
        <w:tblLayout w:type="fixed"/>
        <w:tblLook w:val="01E0" w:firstRow="1" w:lastRow="1" w:firstColumn="1" w:lastColumn="1" w:noHBand="0" w:noVBand="0"/>
      </w:tblPr>
      <w:tblGrid>
        <w:gridCol w:w="2835"/>
        <w:gridCol w:w="1559"/>
        <w:gridCol w:w="1418"/>
        <w:gridCol w:w="1559"/>
        <w:gridCol w:w="1559"/>
      </w:tblGrid>
      <w:tr w:rsidR="00524ABA" w:rsidRPr="00524ABA" w:rsidTr="00A13A23">
        <w:tc>
          <w:tcPr>
            <w:tcW w:w="2835" w:type="dxa"/>
            <w:tcBorders>
              <w:top w:val="nil"/>
              <w:left w:val="nil"/>
              <w:bottom w:val="single" w:sz="18" w:space="0" w:color="FFFFFF"/>
              <w:right w:val="single" w:sz="18" w:space="0" w:color="FFFFFF"/>
            </w:tcBorders>
            <w:shd w:val="pct20" w:color="000000" w:fill="FFFFFF"/>
            <w:vAlign w:val="center"/>
            <w:hideMark/>
          </w:tcPr>
          <w:p w:rsidR="00A13A23" w:rsidRDefault="008157E3" w:rsidP="00A13A23">
            <w:pPr>
              <w:ind w:left="33"/>
              <w:rPr>
                <w:rFonts w:cs="Arial"/>
                <w:b/>
                <w:bCs/>
                <w:iCs/>
                <w:sz w:val="20"/>
                <w:lang w:val="en-US"/>
              </w:rPr>
            </w:pPr>
            <w:r w:rsidRPr="008157E3">
              <w:rPr>
                <w:rFonts w:cs="Arial"/>
                <w:b/>
                <w:bCs/>
                <w:iCs/>
                <w:sz w:val="20"/>
                <w:lang w:val="en-US"/>
              </w:rPr>
              <w:t xml:space="preserve"> </w:t>
            </w:r>
          </w:p>
          <w:p w:rsidR="00C3212A" w:rsidRPr="00C3212A" w:rsidRDefault="00C3212A" w:rsidP="00C3212A">
            <w:pPr>
              <w:ind w:left="33"/>
              <w:rPr>
                <w:rFonts w:cs="Arial"/>
                <w:b/>
                <w:bCs/>
                <w:iCs/>
                <w:sz w:val="20"/>
                <w:lang w:val="en-US"/>
              </w:rPr>
            </w:pPr>
            <w:r w:rsidRPr="00C3212A">
              <w:rPr>
                <w:rFonts w:cs="Arial"/>
                <w:b/>
                <w:bCs/>
                <w:iCs/>
                <w:sz w:val="20"/>
                <w:lang w:val="en-US"/>
              </w:rPr>
              <w:t xml:space="preserve">COMPARISON </w:t>
            </w:r>
          </w:p>
          <w:p w:rsidR="00524ABA" w:rsidRPr="00524ABA" w:rsidRDefault="00C3212A" w:rsidP="00C3212A">
            <w:pPr>
              <w:ind w:left="33"/>
              <w:rPr>
                <w:rFonts w:cs="Arial"/>
                <w:b/>
                <w:bCs/>
                <w:iCs/>
                <w:sz w:val="20"/>
                <w:lang w:val="en-US"/>
              </w:rPr>
            </w:pPr>
            <w:r w:rsidRPr="00C3212A">
              <w:rPr>
                <w:rFonts w:cs="Arial"/>
                <w:b/>
                <w:bCs/>
                <w:iCs/>
                <w:sz w:val="20"/>
                <w:lang w:val="en-US"/>
              </w:rPr>
              <w:t xml:space="preserve">BY REPORT PERIOD </w:t>
            </w:r>
            <w:r w:rsidR="00524ABA" w:rsidRPr="00524ABA">
              <w:rPr>
                <w:rFonts w:cs="Arial"/>
                <w:b/>
                <w:bCs/>
                <w:iCs/>
                <w:sz w:val="20"/>
                <w:lang w:val="en-US"/>
              </w:rPr>
              <w:t>(1,000 euros)</w:t>
            </w:r>
          </w:p>
          <w:p w:rsidR="00524ABA" w:rsidRPr="00524ABA" w:rsidRDefault="00524ABA" w:rsidP="00A13A23">
            <w:pPr>
              <w:ind w:left="426"/>
              <w:rPr>
                <w:rFonts w:cs="Arial"/>
                <w:b/>
                <w:bCs/>
                <w:iCs/>
                <w:sz w:val="20"/>
                <w:lang w:val="en-US"/>
              </w:rPr>
            </w:pPr>
          </w:p>
        </w:tc>
        <w:tc>
          <w:tcPr>
            <w:tcW w:w="1559" w:type="dxa"/>
            <w:tcBorders>
              <w:top w:val="nil"/>
              <w:left w:val="single" w:sz="18" w:space="0" w:color="FFFFFF"/>
              <w:bottom w:val="single" w:sz="18" w:space="0" w:color="FFFFFF"/>
              <w:right w:val="single" w:sz="18" w:space="0" w:color="FFFFFF"/>
            </w:tcBorders>
            <w:shd w:val="pct20" w:color="000000" w:fill="FFFFFF"/>
            <w:vAlign w:val="center"/>
            <w:hideMark/>
          </w:tcPr>
          <w:p w:rsidR="00524ABA" w:rsidRPr="00524ABA" w:rsidRDefault="00524ABA" w:rsidP="009F38B7">
            <w:pPr>
              <w:ind w:left="426"/>
              <w:jc w:val="right"/>
              <w:rPr>
                <w:rFonts w:cs="Arial"/>
                <w:b/>
                <w:bCs/>
                <w:iCs/>
                <w:sz w:val="20"/>
                <w:lang w:val="fi-FI"/>
              </w:rPr>
            </w:pPr>
            <w:r w:rsidRPr="00524ABA">
              <w:rPr>
                <w:rFonts w:cs="Arial"/>
                <w:b/>
                <w:bCs/>
                <w:iCs/>
                <w:sz w:val="20"/>
                <w:lang w:val="fi-FI"/>
              </w:rPr>
              <w:t>1-</w:t>
            </w:r>
            <w:r w:rsidR="009F38B7">
              <w:rPr>
                <w:rFonts w:cs="Arial"/>
                <w:b/>
                <w:bCs/>
                <w:iCs/>
                <w:sz w:val="20"/>
                <w:lang w:val="fi-FI"/>
              </w:rPr>
              <w:t>6</w:t>
            </w:r>
            <w:r w:rsidRPr="00524ABA">
              <w:rPr>
                <w:rFonts w:cs="Arial"/>
                <w:b/>
                <w:bCs/>
                <w:iCs/>
                <w:sz w:val="20"/>
                <w:lang w:val="fi-FI"/>
              </w:rPr>
              <w:t>/201</w:t>
            </w:r>
            <w:r w:rsidR="009F38B7">
              <w:rPr>
                <w:rFonts w:cs="Arial"/>
                <w:b/>
                <w:bCs/>
                <w:iCs/>
                <w:sz w:val="20"/>
                <w:lang w:val="fi-FI"/>
              </w:rPr>
              <w:t>5</w:t>
            </w:r>
          </w:p>
        </w:tc>
        <w:tc>
          <w:tcPr>
            <w:tcW w:w="1418" w:type="dxa"/>
            <w:tcBorders>
              <w:top w:val="nil"/>
              <w:left w:val="single" w:sz="18" w:space="0" w:color="FFFFFF"/>
              <w:bottom w:val="single" w:sz="18" w:space="0" w:color="FFFFFF"/>
              <w:right w:val="single" w:sz="18" w:space="0" w:color="FFFFFF"/>
            </w:tcBorders>
            <w:shd w:val="pct20" w:color="000000" w:fill="FFFFFF"/>
            <w:vAlign w:val="center"/>
            <w:hideMark/>
          </w:tcPr>
          <w:p w:rsidR="00524ABA" w:rsidRPr="00524ABA" w:rsidRDefault="00524ABA" w:rsidP="009F38B7">
            <w:pPr>
              <w:jc w:val="right"/>
              <w:rPr>
                <w:rFonts w:cs="Arial"/>
                <w:b/>
                <w:bCs/>
                <w:iCs/>
                <w:sz w:val="20"/>
                <w:lang w:val="fi-FI"/>
              </w:rPr>
            </w:pPr>
            <w:r w:rsidRPr="00524ABA">
              <w:rPr>
                <w:rFonts w:cs="Arial"/>
                <w:b/>
                <w:bCs/>
                <w:iCs/>
                <w:sz w:val="20"/>
                <w:lang w:val="fi-FI"/>
              </w:rPr>
              <w:t>1-</w:t>
            </w:r>
            <w:r w:rsidR="009F38B7">
              <w:rPr>
                <w:rFonts w:cs="Arial"/>
                <w:b/>
                <w:bCs/>
                <w:iCs/>
                <w:sz w:val="20"/>
                <w:lang w:val="fi-FI"/>
              </w:rPr>
              <w:t>6</w:t>
            </w:r>
            <w:r w:rsidRPr="00524ABA">
              <w:rPr>
                <w:rFonts w:cs="Arial"/>
                <w:b/>
                <w:bCs/>
                <w:iCs/>
                <w:sz w:val="20"/>
                <w:lang w:val="fi-FI"/>
              </w:rPr>
              <w:t>/201</w:t>
            </w:r>
            <w:r w:rsidR="009F38B7">
              <w:rPr>
                <w:rFonts w:cs="Arial"/>
                <w:b/>
                <w:bCs/>
                <w:iCs/>
                <w:sz w:val="20"/>
                <w:lang w:val="fi-FI"/>
              </w:rPr>
              <w:t>4</w:t>
            </w:r>
          </w:p>
        </w:tc>
        <w:tc>
          <w:tcPr>
            <w:tcW w:w="1559" w:type="dxa"/>
            <w:tcBorders>
              <w:top w:val="nil"/>
              <w:left w:val="single" w:sz="18" w:space="0" w:color="FFFFFF"/>
              <w:bottom w:val="single" w:sz="18" w:space="0" w:color="FFFFFF"/>
              <w:right w:val="single" w:sz="18" w:space="0" w:color="FFFFFF"/>
            </w:tcBorders>
            <w:shd w:val="pct20" w:color="000000" w:fill="FFFFFF"/>
            <w:vAlign w:val="center"/>
          </w:tcPr>
          <w:p w:rsidR="00524ABA" w:rsidRPr="00524ABA" w:rsidRDefault="009F38B7" w:rsidP="00F923C3">
            <w:pPr>
              <w:jc w:val="right"/>
              <w:rPr>
                <w:rFonts w:cs="Arial"/>
                <w:b/>
                <w:bCs/>
                <w:iCs/>
                <w:sz w:val="20"/>
                <w:lang w:val="fi-FI"/>
              </w:rPr>
            </w:pPr>
            <w:r>
              <w:rPr>
                <w:rFonts w:cs="Arial"/>
                <w:b/>
                <w:bCs/>
                <w:iCs/>
                <w:sz w:val="20"/>
                <w:lang w:val="fi-FI"/>
              </w:rPr>
              <w:t>7</w:t>
            </w:r>
            <w:r w:rsidR="00524ABA" w:rsidRPr="00524ABA">
              <w:rPr>
                <w:rFonts w:cs="Arial"/>
                <w:b/>
                <w:bCs/>
                <w:iCs/>
                <w:sz w:val="20"/>
                <w:lang w:val="fi-FI"/>
              </w:rPr>
              <w:t>-12/2014</w:t>
            </w:r>
          </w:p>
        </w:tc>
        <w:tc>
          <w:tcPr>
            <w:tcW w:w="1559" w:type="dxa"/>
            <w:tcBorders>
              <w:top w:val="nil"/>
              <w:left w:val="single" w:sz="18" w:space="0" w:color="FFFFFF"/>
              <w:bottom w:val="single" w:sz="18" w:space="0" w:color="FFFFFF"/>
              <w:right w:val="single" w:sz="18" w:space="0" w:color="FFFFFF"/>
            </w:tcBorders>
            <w:shd w:val="pct20" w:color="000000" w:fill="FFFFFF"/>
            <w:vAlign w:val="center"/>
          </w:tcPr>
          <w:p w:rsidR="00524ABA" w:rsidRPr="00524ABA" w:rsidRDefault="00524ABA" w:rsidP="009F38B7">
            <w:pPr>
              <w:jc w:val="right"/>
              <w:rPr>
                <w:rFonts w:cs="Arial"/>
                <w:b/>
                <w:bCs/>
                <w:iCs/>
                <w:sz w:val="20"/>
                <w:lang w:val="fi-FI"/>
              </w:rPr>
            </w:pPr>
            <w:r w:rsidRPr="00524ABA">
              <w:rPr>
                <w:rFonts w:cs="Arial"/>
                <w:b/>
                <w:bCs/>
                <w:iCs/>
                <w:sz w:val="20"/>
                <w:lang w:val="fi-FI"/>
              </w:rPr>
              <w:t>1-12/201</w:t>
            </w:r>
            <w:r w:rsidR="009F38B7">
              <w:rPr>
                <w:rFonts w:cs="Arial"/>
                <w:b/>
                <w:bCs/>
                <w:iCs/>
                <w:sz w:val="20"/>
                <w:lang w:val="fi-FI"/>
              </w:rPr>
              <w:t>4</w:t>
            </w:r>
          </w:p>
        </w:tc>
      </w:tr>
      <w:tr w:rsidR="009F38B7" w:rsidRPr="00524ABA" w:rsidTr="008157E3">
        <w:trPr>
          <w:trHeight w:val="487"/>
        </w:trPr>
        <w:tc>
          <w:tcPr>
            <w:tcW w:w="2835" w:type="dxa"/>
            <w:tcBorders>
              <w:top w:val="single" w:sz="18" w:space="0" w:color="FFFFFF"/>
              <w:left w:val="nil"/>
              <w:bottom w:val="single" w:sz="18" w:space="0" w:color="FFFFFF"/>
              <w:right w:val="single" w:sz="18" w:space="0" w:color="FFFFFF"/>
            </w:tcBorders>
            <w:shd w:val="pct5" w:color="000000" w:fill="FFFFFF"/>
            <w:vAlign w:val="center"/>
            <w:hideMark/>
          </w:tcPr>
          <w:p w:rsidR="009F38B7" w:rsidRPr="00524ABA" w:rsidRDefault="009F38B7" w:rsidP="00F923C3">
            <w:pPr>
              <w:ind w:left="175"/>
              <w:rPr>
                <w:rFonts w:cs="Arial"/>
                <w:sz w:val="20"/>
                <w:lang w:val="fi-FI"/>
              </w:rPr>
            </w:pPr>
            <w:proofErr w:type="spellStart"/>
            <w:r w:rsidRPr="00524ABA">
              <w:rPr>
                <w:rFonts w:cs="Arial"/>
                <w:sz w:val="20"/>
                <w:lang w:val="fi-FI"/>
              </w:rPr>
              <w:t>Revenue</w:t>
            </w:r>
            <w:proofErr w:type="spellEnd"/>
          </w:p>
        </w:tc>
        <w:tc>
          <w:tcPr>
            <w:tcW w:w="1559"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9F38B7" w:rsidRPr="0016408F" w:rsidRDefault="009F38B7" w:rsidP="009F38B7">
            <w:pPr>
              <w:ind w:left="426"/>
              <w:jc w:val="right"/>
              <w:rPr>
                <w:rFonts w:cs="Arial"/>
                <w:b/>
                <w:sz w:val="20"/>
                <w:szCs w:val="20"/>
                <w:lang w:val="fi-FI"/>
              </w:rPr>
            </w:pPr>
            <w:r>
              <w:rPr>
                <w:rFonts w:cs="Arial"/>
                <w:b/>
                <w:sz w:val="20"/>
                <w:szCs w:val="20"/>
                <w:lang w:val="fi-FI"/>
              </w:rPr>
              <w:t>13,254</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9F38B7" w:rsidRPr="002F7D71" w:rsidRDefault="009F38B7" w:rsidP="009F38B7">
            <w:pPr>
              <w:jc w:val="right"/>
              <w:rPr>
                <w:rFonts w:cs="Arial"/>
                <w:bCs/>
                <w:iCs/>
                <w:sz w:val="20"/>
                <w:szCs w:val="20"/>
                <w:lang w:val="fi-FI"/>
              </w:rPr>
            </w:pPr>
            <w:r w:rsidRPr="002F7D71">
              <w:rPr>
                <w:rFonts w:cs="Arial"/>
                <w:bCs/>
                <w:iCs/>
                <w:sz w:val="20"/>
                <w:szCs w:val="20"/>
                <w:lang w:val="fi-FI"/>
              </w:rPr>
              <w:t>8</w:t>
            </w:r>
            <w:r>
              <w:rPr>
                <w:rFonts w:cs="Arial"/>
                <w:bCs/>
                <w:iCs/>
                <w:sz w:val="20"/>
                <w:szCs w:val="20"/>
                <w:lang w:val="fi-FI"/>
              </w:rPr>
              <w:t>,</w:t>
            </w:r>
            <w:r w:rsidRPr="002F7D71">
              <w:rPr>
                <w:rFonts w:cs="Arial"/>
                <w:bCs/>
                <w:iCs/>
                <w:sz w:val="20"/>
                <w:szCs w:val="20"/>
                <w:lang w:val="fi-FI"/>
              </w:rPr>
              <w:t>155</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9F38B7" w:rsidRPr="002F7D71" w:rsidRDefault="009F38B7" w:rsidP="009F38B7">
            <w:pPr>
              <w:ind w:left="426"/>
              <w:jc w:val="right"/>
              <w:rPr>
                <w:rFonts w:cs="Arial"/>
                <w:sz w:val="20"/>
                <w:szCs w:val="20"/>
              </w:rPr>
            </w:pPr>
            <w:r w:rsidRPr="002F7D71">
              <w:rPr>
                <w:rFonts w:cs="Arial"/>
                <w:sz w:val="20"/>
                <w:szCs w:val="20"/>
              </w:rPr>
              <w:t>10</w:t>
            </w:r>
            <w:r>
              <w:rPr>
                <w:rFonts w:cs="Arial"/>
                <w:sz w:val="20"/>
                <w:szCs w:val="20"/>
              </w:rPr>
              <w:t>,</w:t>
            </w:r>
            <w:r w:rsidRPr="002F7D71">
              <w:rPr>
                <w:rFonts w:cs="Arial"/>
                <w:sz w:val="20"/>
                <w:szCs w:val="20"/>
              </w:rPr>
              <w:t>345</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9F38B7" w:rsidRPr="002F7D71" w:rsidRDefault="009F38B7" w:rsidP="009F38B7">
            <w:pPr>
              <w:ind w:left="426"/>
              <w:jc w:val="right"/>
              <w:rPr>
                <w:rFonts w:cs="Arial"/>
                <w:sz w:val="20"/>
                <w:szCs w:val="20"/>
                <w:lang w:val="fi-FI"/>
              </w:rPr>
            </w:pPr>
            <w:r w:rsidRPr="002F7D71">
              <w:rPr>
                <w:rFonts w:cs="Arial"/>
                <w:sz w:val="20"/>
                <w:szCs w:val="20"/>
                <w:lang w:val="fi-FI"/>
              </w:rPr>
              <w:t>18</w:t>
            </w:r>
            <w:r>
              <w:rPr>
                <w:rFonts w:cs="Arial"/>
                <w:sz w:val="20"/>
                <w:szCs w:val="20"/>
                <w:lang w:val="fi-FI"/>
              </w:rPr>
              <w:t>,</w:t>
            </w:r>
            <w:r w:rsidRPr="002F7D71">
              <w:rPr>
                <w:rFonts w:cs="Arial"/>
                <w:sz w:val="20"/>
                <w:szCs w:val="20"/>
                <w:lang w:val="fi-FI"/>
              </w:rPr>
              <w:t>499</w:t>
            </w:r>
          </w:p>
        </w:tc>
      </w:tr>
      <w:tr w:rsidR="009F38B7" w:rsidRPr="00524ABA" w:rsidTr="008157E3">
        <w:trPr>
          <w:trHeight w:val="349"/>
        </w:trPr>
        <w:tc>
          <w:tcPr>
            <w:tcW w:w="2835" w:type="dxa"/>
            <w:tcBorders>
              <w:top w:val="single" w:sz="18" w:space="0" w:color="FFFFFF"/>
              <w:left w:val="nil"/>
              <w:bottom w:val="single" w:sz="18" w:space="0" w:color="FFFFFF"/>
              <w:right w:val="single" w:sz="18" w:space="0" w:color="FFFFFF"/>
            </w:tcBorders>
            <w:shd w:val="pct20" w:color="000000" w:fill="FFFFFF"/>
            <w:vAlign w:val="center"/>
            <w:hideMark/>
          </w:tcPr>
          <w:p w:rsidR="009F38B7" w:rsidRDefault="009F38B7" w:rsidP="00F923C3">
            <w:pPr>
              <w:ind w:left="175"/>
              <w:rPr>
                <w:rFonts w:cs="Arial"/>
                <w:sz w:val="20"/>
                <w:lang w:val="fi-FI"/>
              </w:rPr>
            </w:pPr>
          </w:p>
          <w:p w:rsidR="009F38B7" w:rsidRDefault="009F38B7" w:rsidP="00F923C3">
            <w:pPr>
              <w:ind w:left="175"/>
              <w:rPr>
                <w:rFonts w:cs="Arial"/>
                <w:sz w:val="20"/>
                <w:lang w:val="fi-FI"/>
              </w:rPr>
            </w:pPr>
            <w:r w:rsidRPr="00524ABA">
              <w:rPr>
                <w:rFonts w:cs="Arial"/>
                <w:sz w:val="20"/>
                <w:lang w:val="fi-FI"/>
              </w:rPr>
              <w:t xml:space="preserve">Operating </w:t>
            </w:r>
            <w:proofErr w:type="spellStart"/>
            <w:r w:rsidRPr="00524ABA">
              <w:rPr>
                <w:rFonts w:cs="Arial"/>
                <w:sz w:val="20"/>
                <w:lang w:val="fi-FI"/>
              </w:rPr>
              <w:t>profit/loss</w:t>
            </w:r>
            <w:proofErr w:type="spellEnd"/>
            <w:r w:rsidRPr="00524ABA">
              <w:rPr>
                <w:rFonts w:cs="Arial"/>
                <w:sz w:val="20"/>
                <w:lang w:val="fi-FI"/>
              </w:rPr>
              <w:t xml:space="preserve"> (EBIT) </w:t>
            </w:r>
          </w:p>
          <w:p w:rsidR="009F38B7" w:rsidRPr="00524ABA" w:rsidRDefault="009F38B7" w:rsidP="00F923C3">
            <w:pPr>
              <w:ind w:left="175"/>
              <w:rPr>
                <w:rFonts w:cs="Arial"/>
                <w:sz w:val="20"/>
                <w:lang w:val="fi-FI"/>
              </w:rPr>
            </w:pP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9F38B7" w:rsidRPr="0016408F" w:rsidRDefault="009F38B7" w:rsidP="00CF3D7D">
            <w:pPr>
              <w:ind w:left="426"/>
              <w:jc w:val="right"/>
              <w:rPr>
                <w:rFonts w:cs="Arial"/>
                <w:b/>
                <w:sz w:val="20"/>
                <w:szCs w:val="20"/>
                <w:lang w:val="fi-FI"/>
              </w:rPr>
            </w:pPr>
            <w:r>
              <w:rPr>
                <w:rFonts w:cs="Arial"/>
                <w:b/>
                <w:sz w:val="20"/>
                <w:szCs w:val="20"/>
                <w:lang w:val="fi-FI"/>
              </w:rPr>
              <w:t>1,478</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9F38B7" w:rsidRPr="002F7D71" w:rsidRDefault="009F38B7" w:rsidP="00CF3D7D">
            <w:pPr>
              <w:ind w:left="426"/>
              <w:jc w:val="right"/>
              <w:rPr>
                <w:rFonts w:cs="Arial"/>
                <w:sz w:val="20"/>
                <w:szCs w:val="20"/>
              </w:rPr>
            </w:pPr>
            <w:r w:rsidRPr="002F7D71">
              <w:rPr>
                <w:rFonts w:cs="Arial"/>
                <w:sz w:val="20"/>
                <w:szCs w:val="20"/>
              </w:rPr>
              <w:t>-144</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9F38B7" w:rsidRPr="002F7D71" w:rsidRDefault="009F38B7" w:rsidP="00CF3D7D">
            <w:pPr>
              <w:jc w:val="right"/>
              <w:rPr>
                <w:rFonts w:cs="Arial"/>
                <w:sz w:val="20"/>
                <w:szCs w:val="20"/>
              </w:rPr>
            </w:pPr>
          </w:p>
          <w:p w:rsidR="009F38B7" w:rsidRPr="002F7D71" w:rsidRDefault="009F38B7" w:rsidP="00CF3D7D">
            <w:pPr>
              <w:jc w:val="right"/>
              <w:rPr>
                <w:rFonts w:cs="Arial"/>
                <w:sz w:val="20"/>
                <w:szCs w:val="20"/>
              </w:rPr>
            </w:pPr>
            <w:r w:rsidRPr="002F7D71">
              <w:rPr>
                <w:rFonts w:cs="Arial"/>
                <w:sz w:val="20"/>
                <w:szCs w:val="20"/>
              </w:rPr>
              <w:t>1</w:t>
            </w:r>
            <w:r>
              <w:rPr>
                <w:rFonts w:cs="Arial"/>
                <w:sz w:val="20"/>
                <w:szCs w:val="20"/>
              </w:rPr>
              <w:t>,</w:t>
            </w:r>
            <w:r w:rsidRPr="002F7D71">
              <w:rPr>
                <w:rFonts w:cs="Arial"/>
                <w:sz w:val="20"/>
                <w:szCs w:val="20"/>
              </w:rPr>
              <w:t>205</w:t>
            </w:r>
          </w:p>
          <w:p w:rsidR="009F38B7" w:rsidRPr="002F7D71" w:rsidRDefault="009F38B7" w:rsidP="00CF3D7D">
            <w:pPr>
              <w:jc w:val="right"/>
              <w:rPr>
                <w:rFonts w:cs="Arial"/>
                <w:sz w:val="20"/>
                <w:szCs w:val="20"/>
              </w:rPr>
            </w:pP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9F38B7" w:rsidRPr="002F7D71" w:rsidRDefault="009F38B7" w:rsidP="009F38B7">
            <w:pPr>
              <w:ind w:left="426"/>
              <w:jc w:val="right"/>
              <w:rPr>
                <w:rFonts w:cs="Arial"/>
                <w:sz w:val="20"/>
                <w:szCs w:val="20"/>
                <w:lang w:val="fi-FI"/>
              </w:rPr>
            </w:pPr>
            <w:r w:rsidRPr="002F7D71">
              <w:rPr>
                <w:rFonts w:cs="Arial"/>
                <w:sz w:val="20"/>
                <w:szCs w:val="20"/>
                <w:lang w:val="fi-FI"/>
              </w:rPr>
              <w:t>1</w:t>
            </w:r>
            <w:r>
              <w:rPr>
                <w:rFonts w:cs="Arial"/>
                <w:sz w:val="20"/>
                <w:szCs w:val="20"/>
                <w:lang w:val="fi-FI"/>
              </w:rPr>
              <w:t>,</w:t>
            </w:r>
            <w:r w:rsidRPr="002F7D71">
              <w:rPr>
                <w:rFonts w:cs="Arial"/>
                <w:sz w:val="20"/>
                <w:szCs w:val="20"/>
                <w:lang w:val="fi-FI"/>
              </w:rPr>
              <w:t>061</w:t>
            </w:r>
          </w:p>
        </w:tc>
      </w:tr>
      <w:tr w:rsidR="009F38B7" w:rsidRPr="00524ABA" w:rsidTr="008157E3">
        <w:trPr>
          <w:trHeight w:val="346"/>
        </w:trPr>
        <w:tc>
          <w:tcPr>
            <w:tcW w:w="2835" w:type="dxa"/>
            <w:tcBorders>
              <w:top w:val="single" w:sz="18" w:space="0" w:color="FFFFFF"/>
              <w:left w:val="nil"/>
              <w:bottom w:val="single" w:sz="18" w:space="0" w:color="FFFFFF"/>
              <w:right w:val="single" w:sz="18" w:space="0" w:color="FFFFFF"/>
            </w:tcBorders>
            <w:shd w:val="pct5" w:color="000000" w:fill="FFFFFF"/>
            <w:vAlign w:val="center"/>
            <w:hideMark/>
          </w:tcPr>
          <w:p w:rsidR="009F38B7" w:rsidRDefault="009F38B7" w:rsidP="00F923C3">
            <w:pPr>
              <w:ind w:left="175"/>
              <w:rPr>
                <w:rFonts w:cs="Arial"/>
                <w:sz w:val="20"/>
                <w:lang w:val="en-US"/>
              </w:rPr>
            </w:pPr>
          </w:p>
          <w:p w:rsidR="009F38B7" w:rsidRDefault="009F38B7" w:rsidP="00F923C3">
            <w:pPr>
              <w:ind w:left="175"/>
              <w:rPr>
                <w:rFonts w:cs="Arial"/>
                <w:sz w:val="20"/>
                <w:lang w:val="en-US"/>
              </w:rPr>
            </w:pPr>
            <w:r w:rsidRPr="00524ABA">
              <w:rPr>
                <w:rFonts w:cs="Arial"/>
                <w:sz w:val="20"/>
                <w:lang w:val="en-US"/>
              </w:rPr>
              <w:t>Profit/loss for the period</w:t>
            </w:r>
          </w:p>
          <w:p w:rsidR="009F38B7" w:rsidRPr="00524ABA" w:rsidRDefault="009F38B7" w:rsidP="00F923C3">
            <w:pPr>
              <w:ind w:left="175"/>
              <w:rPr>
                <w:rFonts w:cs="Arial"/>
                <w:sz w:val="20"/>
                <w:lang w:val="en-US"/>
              </w:rPr>
            </w:pP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9F38B7" w:rsidRPr="0016408F" w:rsidRDefault="009F38B7" w:rsidP="00CF3D7D">
            <w:pPr>
              <w:ind w:left="426"/>
              <w:jc w:val="right"/>
              <w:rPr>
                <w:rFonts w:cs="Arial"/>
                <w:b/>
                <w:sz w:val="20"/>
                <w:szCs w:val="20"/>
                <w:lang w:val="fi-FI"/>
              </w:rPr>
            </w:pPr>
            <w:r>
              <w:rPr>
                <w:rFonts w:cs="Arial"/>
                <w:b/>
                <w:sz w:val="20"/>
                <w:szCs w:val="20"/>
                <w:lang w:val="fi-FI"/>
              </w:rPr>
              <w:t>845</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9F38B7" w:rsidRPr="002F7D71" w:rsidRDefault="009F38B7" w:rsidP="00CF3D7D">
            <w:pPr>
              <w:ind w:left="426"/>
              <w:jc w:val="right"/>
              <w:rPr>
                <w:rFonts w:cs="Arial"/>
                <w:sz w:val="20"/>
                <w:szCs w:val="20"/>
              </w:rPr>
            </w:pPr>
            <w:r w:rsidRPr="002F7D71">
              <w:rPr>
                <w:rFonts w:cs="Arial"/>
                <w:sz w:val="20"/>
                <w:szCs w:val="20"/>
              </w:rPr>
              <w:t>-637</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9F38B7" w:rsidRPr="002F7D71" w:rsidRDefault="009F38B7" w:rsidP="00CF3D7D">
            <w:pPr>
              <w:jc w:val="right"/>
              <w:rPr>
                <w:rFonts w:cs="Arial"/>
                <w:sz w:val="20"/>
                <w:szCs w:val="20"/>
              </w:rPr>
            </w:pPr>
          </w:p>
          <w:p w:rsidR="009F38B7" w:rsidRPr="002F7D71" w:rsidRDefault="009F38B7" w:rsidP="00CF3D7D">
            <w:pPr>
              <w:jc w:val="right"/>
              <w:rPr>
                <w:rFonts w:cs="Arial"/>
                <w:sz w:val="20"/>
                <w:szCs w:val="20"/>
              </w:rPr>
            </w:pPr>
            <w:r w:rsidRPr="002F7D71">
              <w:rPr>
                <w:rFonts w:cs="Arial"/>
                <w:sz w:val="20"/>
                <w:szCs w:val="20"/>
              </w:rPr>
              <w:t>788</w:t>
            </w:r>
          </w:p>
          <w:p w:rsidR="009F38B7" w:rsidRPr="002F7D71" w:rsidRDefault="009F38B7" w:rsidP="00CF3D7D">
            <w:pPr>
              <w:ind w:left="426"/>
              <w:jc w:val="right"/>
              <w:rPr>
                <w:rFonts w:cs="Arial"/>
                <w:sz w:val="20"/>
                <w:szCs w:val="20"/>
              </w:rPr>
            </w:pP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9F38B7" w:rsidRPr="002F7D71" w:rsidRDefault="009F38B7" w:rsidP="00CF3D7D">
            <w:pPr>
              <w:ind w:left="426"/>
              <w:jc w:val="right"/>
              <w:rPr>
                <w:rFonts w:cs="Arial"/>
                <w:sz w:val="20"/>
                <w:szCs w:val="20"/>
                <w:lang w:val="fi-FI"/>
              </w:rPr>
            </w:pPr>
            <w:r w:rsidRPr="002F7D71">
              <w:rPr>
                <w:rFonts w:cs="Arial"/>
                <w:sz w:val="20"/>
                <w:szCs w:val="20"/>
                <w:lang w:val="fi-FI"/>
              </w:rPr>
              <w:t>151</w:t>
            </w:r>
          </w:p>
        </w:tc>
      </w:tr>
      <w:tr w:rsidR="009F38B7" w:rsidRPr="00524ABA" w:rsidTr="008157E3">
        <w:trPr>
          <w:trHeight w:val="567"/>
        </w:trPr>
        <w:tc>
          <w:tcPr>
            <w:tcW w:w="2835" w:type="dxa"/>
            <w:tcBorders>
              <w:top w:val="single" w:sz="18" w:space="0" w:color="FFFFFF"/>
              <w:left w:val="nil"/>
              <w:bottom w:val="nil"/>
              <w:right w:val="single" w:sz="18" w:space="0" w:color="FFFFFF"/>
            </w:tcBorders>
            <w:shd w:val="pct20" w:color="000000" w:fill="FFFFFF"/>
            <w:vAlign w:val="center"/>
            <w:hideMark/>
          </w:tcPr>
          <w:p w:rsidR="009F38B7" w:rsidRDefault="009F38B7" w:rsidP="00164410">
            <w:pPr>
              <w:ind w:left="175"/>
              <w:rPr>
                <w:rFonts w:cs="Arial"/>
                <w:bCs/>
                <w:sz w:val="20"/>
                <w:lang w:val="fi-FI"/>
              </w:rPr>
            </w:pPr>
          </w:p>
          <w:p w:rsidR="009F38B7" w:rsidRDefault="009F38B7" w:rsidP="00164410">
            <w:pPr>
              <w:ind w:left="175"/>
              <w:rPr>
                <w:rFonts w:cs="Arial"/>
                <w:bCs/>
                <w:sz w:val="20"/>
                <w:lang w:val="fi-FI"/>
              </w:rPr>
            </w:pPr>
            <w:proofErr w:type="spellStart"/>
            <w:r w:rsidRPr="00524ABA">
              <w:rPr>
                <w:rFonts w:cs="Arial"/>
                <w:bCs/>
                <w:sz w:val="20"/>
                <w:lang w:val="fi-FI"/>
              </w:rPr>
              <w:t>Earnings</w:t>
            </w:r>
            <w:proofErr w:type="spellEnd"/>
            <w:r w:rsidRPr="00524ABA">
              <w:rPr>
                <w:rFonts w:cs="Arial"/>
                <w:bCs/>
                <w:sz w:val="20"/>
                <w:lang w:val="fi-FI"/>
              </w:rPr>
              <w:t xml:space="preserve"> per </w:t>
            </w:r>
            <w:proofErr w:type="spellStart"/>
            <w:r w:rsidRPr="00524ABA">
              <w:rPr>
                <w:rFonts w:cs="Arial"/>
                <w:bCs/>
                <w:sz w:val="20"/>
                <w:lang w:val="fi-FI"/>
              </w:rPr>
              <w:t>share</w:t>
            </w:r>
            <w:proofErr w:type="spellEnd"/>
            <w:r w:rsidRPr="00524ABA">
              <w:rPr>
                <w:rFonts w:cs="Arial"/>
                <w:bCs/>
                <w:sz w:val="20"/>
                <w:lang w:val="fi-FI"/>
              </w:rPr>
              <w:t>, EUR</w:t>
            </w:r>
          </w:p>
          <w:p w:rsidR="009F38B7" w:rsidRPr="00524ABA" w:rsidRDefault="009F38B7" w:rsidP="00164410">
            <w:pPr>
              <w:ind w:left="175"/>
              <w:rPr>
                <w:rFonts w:cs="Arial"/>
                <w:bCs/>
                <w:sz w:val="20"/>
                <w:lang w:val="fi-FI"/>
              </w:rPr>
            </w:pPr>
          </w:p>
        </w:tc>
        <w:tc>
          <w:tcPr>
            <w:tcW w:w="1559" w:type="dxa"/>
            <w:tcBorders>
              <w:top w:val="single" w:sz="18" w:space="0" w:color="FFFFFF"/>
              <w:left w:val="single" w:sz="18" w:space="0" w:color="FFFFFF"/>
              <w:bottom w:val="nil"/>
              <w:right w:val="single" w:sz="18" w:space="0" w:color="FFFFFF"/>
            </w:tcBorders>
            <w:shd w:val="pct20" w:color="000000" w:fill="FFFFFF"/>
            <w:vAlign w:val="center"/>
          </w:tcPr>
          <w:p w:rsidR="009F38B7" w:rsidRPr="00EA10CD" w:rsidRDefault="009F38B7" w:rsidP="00CF3D7D">
            <w:pPr>
              <w:ind w:left="426"/>
              <w:jc w:val="right"/>
              <w:rPr>
                <w:rFonts w:cs="Arial"/>
                <w:b/>
                <w:sz w:val="20"/>
                <w:szCs w:val="20"/>
                <w:vertAlign w:val="superscript"/>
                <w:lang w:val="fi-FI"/>
              </w:rPr>
            </w:pPr>
            <w:r>
              <w:rPr>
                <w:rFonts w:cs="Arial"/>
                <w:b/>
                <w:sz w:val="20"/>
                <w:szCs w:val="20"/>
                <w:lang w:val="fi-FI"/>
              </w:rPr>
              <w:t>0.01</w:t>
            </w:r>
          </w:p>
        </w:tc>
        <w:tc>
          <w:tcPr>
            <w:tcW w:w="1418" w:type="dxa"/>
            <w:tcBorders>
              <w:top w:val="single" w:sz="18" w:space="0" w:color="FFFFFF"/>
              <w:left w:val="single" w:sz="18" w:space="0" w:color="FFFFFF"/>
              <w:bottom w:val="nil"/>
              <w:right w:val="single" w:sz="18" w:space="0" w:color="FFFFFF"/>
            </w:tcBorders>
            <w:shd w:val="pct20" w:color="000000" w:fill="FFFFFF"/>
            <w:vAlign w:val="center"/>
          </w:tcPr>
          <w:p w:rsidR="009F38B7" w:rsidRPr="002F7D71" w:rsidRDefault="009F38B7" w:rsidP="00CF3D7D">
            <w:pPr>
              <w:jc w:val="right"/>
              <w:rPr>
                <w:rFonts w:cs="Arial"/>
                <w:sz w:val="20"/>
                <w:szCs w:val="20"/>
              </w:rPr>
            </w:pPr>
            <w:r w:rsidRPr="002F7D71">
              <w:rPr>
                <w:rFonts w:cs="Arial"/>
                <w:sz w:val="20"/>
                <w:szCs w:val="20"/>
              </w:rPr>
              <w:t>-</w:t>
            </w:r>
            <w:r>
              <w:rPr>
                <w:rFonts w:cs="Arial"/>
                <w:sz w:val="20"/>
                <w:szCs w:val="20"/>
              </w:rPr>
              <w:t>0.01</w:t>
            </w:r>
          </w:p>
        </w:tc>
        <w:tc>
          <w:tcPr>
            <w:tcW w:w="1559" w:type="dxa"/>
            <w:tcBorders>
              <w:top w:val="single" w:sz="18" w:space="0" w:color="FFFFFF"/>
              <w:left w:val="single" w:sz="18" w:space="0" w:color="FFFFFF"/>
              <w:bottom w:val="nil"/>
              <w:right w:val="single" w:sz="18" w:space="0" w:color="FFFFFF"/>
            </w:tcBorders>
            <w:shd w:val="pct20" w:color="000000" w:fill="FFFFFF"/>
            <w:vAlign w:val="center"/>
          </w:tcPr>
          <w:p w:rsidR="009F38B7" w:rsidRPr="002F7D71" w:rsidRDefault="009F38B7" w:rsidP="00CF3D7D">
            <w:pPr>
              <w:ind w:left="426"/>
              <w:jc w:val="right"/>
              <w:rPr>
                <w:rFonts w:cs="Arial"/>
                <w:sz w:val="20"/>
                <w:szCs w:val="20"/>
              </w:rPr>
            </w:pPr>
            <w:r>
              <w:rPr>
                <w:rFonts w:cs="Arial"/>
                <w:sz w:val="20"/>
                <w:szCs w:val="20"/>
              </w:rPr>
              <w:t>0.</w:t>
            </w:r>
            <w:r w:rsidRPr="002F7D71">
              <w:rPr>
                <w:rFonts w:cs="Arial"/>
                <w:sz w:val="20"/>
                <w:szCs w:val="20"/>
              </w:rPr>
              <w:t>01</w:t>
            </w:r>
          </w:p>
        </w:tc>
        <w:tc>
          <w:tcPr>
            <w:tcW w:w="1559" w:type="dxa"/>
            <w:tcBorders>
              <w:top w:val="single" w:sz="18" w:space="0" w:color="FFFFFF"/>
              <w:left w:val="single" w:sz="18" w:space="0" w:color="FFFFFF"/>
              <w:bottom w:val="nil"/>
              <w:right w:val="single" w:sz="18" w:space="0" w:color="FFFFFF"/>
            </w:tcBorders>
            <w:shd w:val="pct20" w:color="000000" w:fill="FFFFFF"/>
            <w:vAlign w:val="center"/>
          </w:tcPr>
          <w:p w:rsidR="009F38B7" w:rsidRPr="002F7D71" w:rsidRDefault="009F38B7" w:rsidP="00CF3D7D">
            <w:pPr>
              <w:ind w:left="426"/>
              <w:jc w:val="right"/>
              <w:rPr>
                <w:rFonts w:cs="Arial"/>
                <w:sz w:val="20"/>
                <w:szCs w:val="20"/>
                <w:lang w:val="fi-FI"/>
              </w:rPr>
            </w:pPr>
            <w:r>
              <w:rPr>
                <w:rFonts w:cs="Arial"/>
                <w:sz w:val="20"/>
                <w:szCs w:val="20"/>
                <w:lang w:val="fi-FI"/>
              </w:rPr>
              <w:t>0.</w:t>
            </w:r>
            <w:r w:rsidRPr="002F7D71">
              <w:rPr>
                <w:rFonts w:cs="Arial"/>
                <w:sz w:val="20"/>
                <w:szCs w:val="20"/>
                <w:lang w:val="fi-FI"/>
              </w:rPr>
              <w:t>00</w:t>
            </w:r>
          </w:p>
        </w:tc>
      </w:tr>
    </w:tbl>
    <w:p w:rsidR="000C0FC4" w:rsidRDefault="000C0FC4" w:rsidP="0065535F">
      <w:pPr>
        <w:ind w:left="709"/>
        <w:rPr>
          <w:rFonts w:cs="Arial"/>
        </w:rPr>
      </w:pPr>
    </w:p>
    <w:p w:rsidR="008157E3" w:rsidRDefault="008157E3" w:rsidP="0065535F">
      <w:pPr>
        <w:ind w:left="709"/>
        <w:rPr>
          <w:rFonts w:cs="Arial"/>
        </w:rPr>
      </w:pPr>
    </w:p>
    <w:p w:rsidR="0062370E" w:rsidRPr="008951BF" w:rsidRDefault="009C09F5" w:rsidP="0065535F">
      <w:pPr>
        <w:ind w:left="709"/>
        <w:rPr>
          <w:rFonts w:cs="Arial"/>
          <w:b/>
        </w:rPr>
      </w:pPr>
      <w:r w:rsidRPr="008951BF">
        <w:rPr>
          <w:rFonts w:cs="Arial"/>
          <w:b/>
        </w:rPr>
        <w:t>Investments</w:t>
      </w:r>
    </w:p>
    <w:p w:rsidR="0062370E" w:rsidRPr="008951BF" w:rsidRDefault="009C09F5" w:rsidP="0065535F">
      <w:pPr>
        <w:ind w:left="709"/>
        <w:rPr>
          <w:rFonts w:cs="Arial"/>
        </w:rPr>
      </w:pPr>
      <w:r w:rsidRPr="008951BF">
        <w:rPr>
          <w:rFonts w:cs="Arial"/>
        </w:rPr>
        <w:t>Investments</w:t>
      </w:r>
      <w:r w:rsidR="0062370E" w:rsidRPr="008951BF">
        <w:rPr>
          <w:rFonts w:cs="Arial"/>
        </w:rPr>
        <w:t xml:space="preserve"> </w:t>
      </w:r>
      <w:r w:rsidRPr="008951BF">
        <w:rPr>
          <w:rFonts w:cs="Arial"/>
        </w:rPr>
        <w:t xml:space="preserve">in </w:t>
      </w:r>
      <w:r w:rsidR="009F38B7">
        <w:rPr>
          <w:rFonts w:cs="Arial"/>
        </w:rPr>
        <w:t>the reporting period</w:t>
      </w:r>
      <w:r w:rsidRPr="008951BF">
        <w:rPr>
          <w:rFonts w:cs="Arial"/>
        </w:rPr>
        <w:t xml:space="preserve"> totalled</w:t>
      </w:r>
      <w:r w:rsidR="0062370E" w:rsidRPr="008951BF">
        <w:rPr>
          <w:rFonts w:cs="Arial"/>
        </w:rPr>
        <w:t xml:space="preserve"> EUR 0.</w:t>
      </w:r>
      <w:r w:rsidR="009F38B7">
        <w:rPr>
          <w:rFonts w:cs="Arial"/>
        </w:rPr>
        <w:t>7</w:t>
      </w:r>
      <w:r w:rsidR="0062370E" w:rsidRPr="008951BF">
        <w:rPr>
          <w:rFonts w:cs="Arial"/>
        </w:rPr>
        <w:t xml:space="preserve"> million (EUR 0.</w:t>
      </w:r>
      <w:r w:rsidR="009F38B7">
        <w:rPr>
          <w:rFonts w:cs="Arial"/>
        </w:rPr>
        <w:t>0</w:t>
      </w:r>
      <w:r w:rsidR="00F40F75">
        <w:rPr>
          <w:rFonts w:cs="Arial"/>
        </w:rPr>
        <w:t>2</w:t>
      </w:r>
      <w:r w:rsidR="009F38B7">
        <w:rPr>
          <w:rFonts w:cs="Arial"/>
        </w:rPr>
        <w:t xml:space="preserve"> </w:t>
      </w:r>
      <w:r w:rsidR="0062370E" w:rsidRPr="008951BF">
        <w:rPr>
          <w:rFonts w:cs="Arial"/>
        </w:rPr>
        <w:t>million)</w:t>
      </w:r>
      <w:r w:rsidR="00A918AA">
        <w:rPr>
          <w:rFonts w:cs="Arial"/>
        </w:rPr>
        <w:t xml:space="preserve"> and were related to the </w:t>
      </w:r>
      <w:r w:rsidR="0062370E" w:rsidRPr="008951BF">
        <w:rPr>
          <w:rFonts w:cs="Arial"/>
        </w:rPr>
        <w:t>development of production</w:t>
      </w:r>
      <w:r w:rsidR="00A918AA">
        <w:rPr>
          <w:rFonts w:cs="Arial"/>
        </w:rPr>
        <w:t xml:space="preserve"> capacity</w:t>
      </w:r>
      <w:r w:rsidR="00FD08C8" w:rsidRPr="008951BF">
        <w:rPr>
          <w:rFonts w:cs="Arial"/>
        </w:rPr>
        <w:t xml:space="preserve"> in India</w:t>
      </w:r>
      <w:r w:rsidR="00A918AA">
        <w:rPr>
          <w:rFonts w:cs="Arial"/>
        </w:rPr>
        <w:t xml:space="preserve"> and Estonia</w:t>
      </w:r>
      <w:r w:rsidR="0062370E" w:rsidRPr="008951BF">
        <w:rPr>
          <w:rFonts w:cs="Arial"/>
        </w:rPr>
        <w:t xml:space="preserve">. </w:t>
      </w:r>
    </w:p>
    <w:p w:rsidR="00FD08C8" w:rsidRPr="008951BF" w:rsidRDefault="00FD08C8" w:rsidP="0065535F">
      <w:pPr>
        <w:ind w:left="709"/>
        <w:rPr>
          <w:rFonts w:cs="Arial"/>
        </w:rPr>
      </w:pPr>
    </w:p>
    <w:p w:rsidR="001C3A4D" w:rsidRDefault="001C3A4D" w:rsidP="0065535F">
      <w:pPr>
        <w:ind w:left="709"/>
        <w:rPr>
          <w:rFonts w:cs="Arial"/>
          <w:b/>
        </w:rPr>
      </w:pPr>
    </w:p>
    <w:p w:rsidR="0062370E" w:rsidRPr="008951BF" w:rsidRDefault="0062370E" w:rsidP="0065535F">
      <w:pPr>
        <w:ind w:left="709"/>
        <w:rPr>
          <w:rFonts w:cs="Arial"/>
          <w:b/>
        </w:rPr>
      </w:pPr>
      <w:r w:rsidRPr="008951BF">
        <w:rPr>
          <w:rFonts w:cs="Arial"/>
          <w:b/>
        </w:rPr>
        <w:lastRenderedPageBreak/>
        <w:t>Balance sheet, financing and cash flow</w:t>
      </w:r>
    </w:p>
    <w:p w:rsidR="0062370E" w:rsidRPr="008951BF" w:rsidRDefault="0062370E" w:rsidP="0065535F">
      <w:pPr>
        <w:ind w:left="709"/>
        <w:rPr>
          <w:rFonts w:cs="Arial"/>
        </w:rPr>
      </w:pPr>
      <w:r w:rsidRPr="008951BF">
        <w:rPr>
          <w:rFonts w:cs="Arial"/>
        </w:rPr>
        <w:t xml:space="preserve">The balance sheet total </w:t>
      </w:r>
      <w:r w:rsidR="002452AA">
        <w:rPr>
          <w:rFonts w:cs="Arial"/>
        </w:rPr>
        <w:t xml:space="preserve">on </w:t>
      </w:r>
      <w:r w:rsidR="005F3E64">
        <w:rPr>
          <w:rFonts w:cs="Arial"/>
        </w:rPr>
        <w:t>30 June</w:t>
      </w:r>
      <w:r w:rsidR="002452AA">
        <w:rPr>
          <w:rFonts w:cs="Arial"/>
        </w:rPr>
        <w:t xml:space="preserve"> 2015 </w:t>
      </w:r>
      <w:r w:rsidRPr="008951BF">
        <w:rPr>
          <w:rFonts w:cs="Arial"/>
        </w:rPr>
        <w:t xml:space="preserve">stood at EUR </w:t>
      </w:r>
      <w:r w:rsidR="005F3E64">
        <w:rPr>
          <w:rFonts w:cs="Arial"/>
        </w:rPr>
        <w:t>17.6</w:t>
      </w:r>
      <w:r w:rsidRPr="008951BF">
        <w:rPr>
          <w:rFonts w:cs="Arial"/>
        </w:rPr>
        <w:t xml:space="preserve"> million (EUR </w:t>
      </w:r>
      <w:r w:rsidR="005F3E64">
        <w:rPr>
          <w:rFonts w:cs="Arial"/>
        </w:rPr>
        <w:t>13</w:t>
      </w:r>
      <w:r w:rsidRPr="008951BF">
        <w:rPr>
          <w:rFonts w:cs="Arial"/>
        </w:rPr>
        <w:t xml:space="preserve">.8 million). The Group’s equity at the close of the </w:t>
      </w:r>
      <w:r w:rsidR="005F3E64">
        <w:rPr>
          <w:rFonts w:cs="Arial"/>
        </w:rPr>
        <w:t>reporting</w:t>
      </w:r>
      <w:r w:rsidRPr="008951BF">
        <w:rPr>
          <w:rFonts w:cs="Arial"/>
        </w:rPr>
        <w:t xml:space="preserve"> period was EUR </w:t>
      </w:r>
      <w:r w:rsidR="005F3E64">
        <w:rPr>
          <w:rFonts w:cs="Arial"/>
        </w:rPr>
        <w:t>4.6</w:t>
      </w:r>
      <w:r w:rsidRPr="008951BF">
        <w:rPr>
          <w:rFonts w:cs="Arial"/>
        </w:rPr>
        <w:t xml:space="preserve"> million (EUR </w:t>
      </w:r>
      <w:r w:rsidR="00F47C90" w:rsidRPr="008951BF">
        <w:rPr>
          <w:rFonts w:cs="Arial"/>
        </w:rPr>
        <w:t>0.</w:t>
      </w:r>
      <w:r w:rsidR="005F3E64">
        <w:rPr>
          <w:rFonts w:cs="Arial"/>
        </w:rPr>
        <w:t>08</w:t>
      </w:r>
      <w:r w:rsidRPr="008951BF">
        <w:rPr>
          <w:rFonts w:cs="Arial"/>
        </w:rPr>
        <w:t xml:space="preserve"> million). The parent company's equity totalled EUR </w:t>
      </w:r>
      <w:r w:rsidR="005F3E64">
        <w:rPr>
          <w:rFonts w:cs="Arial"/>
        </w:rPr>
        <w:t>9.1</w:t>
      </w:r>
      <w:r w:rsidRPr="008951BF">
        <w:rPr>
          <w:rFonts w:cs="Arial"/>
        </w:rPr>
        <w:t xml:space="preserve"> million, representing </w:t>
      </w:r>
      <w:r w:rsidR="005F3E64">
        <w:rPr>
          <w:rFonts w:cs="Arial"/>
        </w:rPr>
        <w:t>45</w:t>
      </w:r>
      <w:r w:rsidRPr="008951BF">
        <w:rPr>
          <w:rFonts w:cs="Arial"/>
        </w:rPr>
        <w:t xml:space="preserve">% of the share capital (EUR </w:t>
      </w:r>
      <w:r w:rsidR="005F3E64">
        <w:rPr>
          <w:rFonts w:cs="Arial"/>
        </w:rPr>
        <w:t>9.4</w:t>
      </w:r>
      <w:r w:rsidRPr="008951BF">
        <w:rPr>
          <w:rFonts w:cs="Arial"/>
        </w:rPr>
        <w:t xml:space="preserve"> million, </w:t>
      </w:r>
      <w:r w:rsidR="005F3E64">
        <w:rPr>
          <w:rFonts w:cs="Arial"/>
        </w:rPr>
        <w:t>46</w:t>
      </w:r>
      <w:r w:rsidRPr="008951BF">
        <w:rPr>
          <w:rFonts w:cs="Arial"/>
        </w:rPr>
        <w:t xml:space="preserve">%). The Group’s equity ratio was </w:t>
      </w:r>
      <w:r w:rsidR="005F3E64">
        <w:rPr>
          <w:rFonts w:cs="Arial"/>
        </w:rPr>
        <w:t>26.3</w:t>
      </w:r>
      <w:r w:rsidR="00F47C90" w:rsidRPr="008951BF">
        <w:rPr>
          <w:rFonts w:cs="Arial"/>
        </w:rPr>
        <w:t>% (</w:t>
      </w:r>
      <w:r w:rsidR="005F3E64">
        <w:rPr>
          <w:rFonts w:cs="Arial"/>
        </w:rPr>
        <w:t>0.6</w:t>
      </w:r>
      <w:r w:rsidRPr="008951BF">
        <w:rPr>
          <w:rFonts w:cs="Arial"/>
        </w:rPr>
        <w:t>%).</w:t>
      </w:r>
    </w:p>
    <w:p w:rsidR="0062370E" w:rsidRPr="008951BF" w:rsidRDefault="0062370E" w:rsidP="0065535F">
      <w:pPr>
        <w:ind w:left="709"/>
        <w:rPr>
          <w:rFonts w:cs="Arial"/>
        </w:rPr>
      </w:pPr>
    </w:p>
    <w:p w:rsidR="0062370E" w:rsidRPr="008951BF" w:rsidRDefault="0062370E" w:rsidP="0065535F">
      <w:pPr>
        <w:ind w:left="709"/>
        <w:rPr>
          <w:rFonts w:cs="Arial"/>
        </w:rPr>
      </w:pPr>
      <w:r w:rsidRPr="008951BF">
        <w:rPr>
          <w:rFonts w:cs="Arial"/>
        </w:rPr>
        <w:t xml:space="preserve">Liabilities </w:t>
      </w:r>
      <w:r w:rsidR="00F47C90" w:rsidRPr="008951BF">
        <w:rPr>
          <w:rFonts w:cs="Arial"/>
        </w:rPr>
        <w:t>decreased</w:t>
      </w:r>
      <w:r w:rsidR="005F3E64">
        <w:rPr>
          <w:rFonts w:cs="Arial"/>
        </w:rPr>
        <w:t xml:space="preserve"> </w:t>
      </w:r>
      <w:r w:rsidR="00F47C90" w:rsidRPr="008951BF">
        <w:rPr>
          <w:rFonts w:cs="Arial"/>
        </w:rPr>
        <w:t xml:space="preserve">to EUR </w:t>
      </w:r>
      <w:r w:rsidR="005F3E64">
        <w:rPr>
          <w:rFonts w:cs="Arial"/>
        </w:rPr>
        <w:t>13.0</w:t>
      </w:r>
      <w:r w:rsidRPr="008951BF">
        <w:rPr>
          <w:rFonts w:cs="Arial"/>
        </w:rPr>
        <w:t xml:space="preserve"> million </w:t>
      </w:r>
      <w:r w:rsidR="00F47C90" w:rsidRPr="008951BF">
        <w:rPr>
          <w:rFonts w:cs="Arial"/>
        </w:rPr>
        <w:t xml:space="preserve">compared with </w:t>
      </w:r>
      <w:r w:rsidR="00AC525C">
        <w:rPr>
          <w:rFonts w:cs="Arial"/>
        </w:rPr>
        <w:t xml:space="preserve">the corresponding period </w:t>
      </w:r>
      <w:r w:rsidR="00F47C90" w:rsidRPr="008951BF">
        <w:rPr>
          <w:rFonts w:cs="Arial"/>
        </w:rPr>
        <w:t xml:space="preserve">previous year </w:t>
      </w:r>
      <w:r w:rsidRPr="008951BF">
        <w:rPr>
          <w:rFonts w:cs="Arial"/>
        </w:rPr>
        <w:t xml:space="preserve">(EUR </w:t>
      </w:r>
      <w:r w:rsidR="005F3E64">
        <w:rPr>
          <w:rFonts w:cs="Arial"/>
        </w:rPr>
        <w:t>13.8</w:t>
      </w:r>
      <w:r w:rsidRPr="008951BF">
        <w:rPr>
          <w:rFonts w:cs="Arial"/>
        </w:rPr>
        <w:t xml:space="preserve"> million), of which </w:t>
      </w:r>
      <w:r w:rsidRPr="00B64233">
        <w:rPr>
          <w:rFonts w:cs="Arial"/>
        </w:rPr>
        <w:t xml:space="preserve">EUR </w:t>
      </w:r>
      <w:r w:rsidR="005F3E64" w:rsidRPr="00B64233">
        <w:rPr>
          <w:rFonts w:cs="Arial"/>
        </w:rPr>
        <w:t>7.</w:t>
      </w:r>
      <w:r w:rsidR="00B64233" w:rsidRPr="00B64233">
        <w:rPr>
          <w:rFonts w:cs="Arial"/>
        </w:rPr>
        <w:t>4</w:t>
      </w:r>
      <w:r w:rsidRPr="00B64233">
        <w:rPr>
          <w:rFonts w:cs="Arial"/>
        </w:rPr>
        <w:t xml:space="preserve"> million</w:t>
      </w:r>
      <w:r w:rsidRPr="008951BF">
        <w:rPr>
          <w:rFonts w:cs="Arial"/>
        </w:rPr>
        <w:t xml:space="preserve"> (EUR </w:t>
      </w:r>
      <w:r w:rsidR="005F3E64">
        <w:rPr>
          <w:rFonts w:cs="Arial"/>
        </w:rPr>
        <w:t>9.2</w:t>
      </w:r>
      <w:r w:rsidRPr="008951BF">
        <w:rPr>
          <w:rFonts w:cs="Arial"/>
        </w:rPr>
        <w:t xml:space="preserve"> million) were interest-bearing liabilities. </w:t>
      </w:r>
    </w:p>
    <w:p w:rsidR="0062370E" w:rsidRPr="008951BF" w:rsidRDefault="0062370E" w:rsidP="0065535F">
      <w:pPr>
        <w:ind w:left="709"/>
        <w:rPr>
          <w:rFonts w:cs="Arial"/>
        </w:rPr>
      </w:pPr>
    </w:p>
    <w:p w:rsidR="0062370E" w:rsidRDefault="0062370E" w:rsidP="0065535F">
      <w:pPr>
        <w:ind w:left="709"/>
        <w:rPr>
          <w:rFonts w:cs="Arial"/>
        </w:rPr>
      </w:pPr>
      <w:r w:rsidRPr="008951BF">
        <w:rPr>
          <w:rFonts w:cs="Arial"/>
        </w:rPr>
        <w:t xml:space="preserve">Interest-bearing net liabilities decreased from the comparison period and were EUR </w:t>
      </w:r>
      <w:r w:rsidR="005F3E64">
        <w:rPr>
          <w:rFonts w:cs="Arial"/>
        </w:rPr>
        <w:t>4.7</w:t>
      </w:r>
      <w:r w:rsidR="00F47C90" w:rsidRPr="008951BF">
        <w:rPr>
          <w:rFonts w:cs="Arial"/>
        </w:rPr>
        <w:t xml:space="preserve"> million (EUR 8.</w:t>
      </w:r>
      <w:r w:rsidR="005F3E64">
        <w:rPr>
          <w:rFonts w:cs="Arial"/>
        </w:rPr>
        <w:t>1</w:t>
      </w:r>
      <w:r w:rsidRPr="008951BF">
        <w:rPr>
          <w:rFonts w:cs="Arial"/>
        </w:rPr>
        <w:t xml:space="preserve"> million), and the gearing ratio was </w:t>
      </w:r>
      <w:r w:rsidR="005F3E64">
        <w:rPr>
          <w:rFonts w:cs="Arial"/>
        </w:rPr>
        <w:t>100</w:t>
      </w:r>
      <w:r w:rsidR="00F47C90" w:rsidRPr="008951BF">
        <w:rPr>
          <w:rFonts w:cs="Arial"/>
        </w:rPr>
        <w:t>% (</w:t>
      </w:r>
      <w:r w:rsidR="005F3E64">
        <w:rPr>
          <w:rFonts w:cs="Arial"/>
        </w:rPr>
        <w:t>9,831</w:t>
      </w:r>
      <w:r w:rsidRPr="008951BF">
        <w:rPr>
          <w:rFonts w:cs="Arial"/>
        </w:rPr>
        <w:t>%).</w:t>
      </w:r>
    </w:p>
    <w:p w:rsidR="00F32AC2" w:rsidRDefault="00F32AC2" w:rsidP="0065535F">
      <w:pPr>
        <w:ind w:left="709"/>
        <w:rPr>
          <w:rFonts w:cs="Arial"/>
        </w:rPr>
      </w:pPr>
    </w:p>
    <w:p w:rsidR="002452AA" w:rsidRDefault="002652F1" w:rsidP="00B64233">
      <w:pPr>
        <w:ind w:left="709"/>
        <w:rPr>
          <w:rFonts w:cs="Arial"/>
        </w:rPr>
      </w:pPr>
      <w:r>
        <w:rPr>
          <w:rFonts w:cs="Arial"/>
        </w:rPr>
        <w:t xml:space="preserve">The company’s non-current interest-bearing liabilities decreased from EUR 2.1 million in the comparison period to EUR 0.3 million in the reporting period, because the investment of </w:t>
      </w:r>
      <w:proofErr w:type="spellStart"/>
      <w:r>
        <w:rPr>
          <w:rFonts w:cs="Arial"/>
        </w:rPr>
        <w:t>Finnfund</w:t>
      </w:r>
      <w:proofErr w:type="spellEnd"/>
      <w:r>
        <w:rPr>
          <w:rFonts w:cs="Arial"/>
        </w:rPr>
        <w:t xml:space="preserve"> in </w:t>
      </w:r>
      <w:proofErr w:type="spellStart"/>
      <w:r>
        <w:rPr>
          <w:rFonts w:cs="Arial"/>
        </w:rPr>
        <w:t>Incap’s</w:t>
      </w:r>
      <w:proofErr w:type="spellEnd"/>
      <w:r>
        <w:rPr>
          <w:rFonts w:cs="Arial"/>
        </w:rPr>
        <w:t xml:space="preserve"> subsidiary in India </w:t>
      </w:r>
      <w:r w:rsidR="00AC525C">
        <w:rPr>
          <w:rFonts w:cs="Arial"/>
        </w:rPr>
        <w:t>was</w:t>
      </w:r>
      <w:r>
        <w:rPr>
          <w:rFonts w:cs="Arial"/>
        </w:rPr>
        <w:t xml:space="preserve"> transferred to current interest-bearing liabilities based on the </w:t>
      </w:r>
      <w:r w:rsidRPr="00AC525C">
        <w:rPr>
          <w:rFonts w:cs="Arial"/>
        </w:rPr>
        <w:t>maturity date</w:t>
      </w:r>
      <w:r>
        <w:rPr>
          <w:rFonts w:cs="Arial"/>
        </w:rPr>
        <w:t xml:space="preserve"> of the loan. </w:t>
      </w:r>
      <w:proofErr w:type="spellStart"/>
      <w:r w:rsidR="00B64233" w:rsidRPr="00D56334">
        <w:rPr>
          <w:rFonts w:cs="Arial"/>
        </w:rPr>
        <w:t>Finnfund’s</w:t>
      </w:r>
      <w:proofErr w:type="spellEnd"/>
      <w:r w:rsidR="00B64233" w:rsidRPr="00D56334">
        <w:rPr>
          <w:rFonts w:cs="Arial"/>
        </w:rPr>
        <w:t xml:space="preserve"> investment of approximately EUR 1.9 million was due to be paid back after the reporting period on 22 July 2015 in accordance with the conditions of the contract between the companies. Due to technical reasons related to the official and banking process of India, </w:t>
      </w:r>
      <w:proofErr w:type="spellStart"/>
      <w:r w:rsidR="00B64233" w:rsidRPr="00D56334">
        <w:rPr>
          <w:rFonts w:cs="Arial"/>
        </w:rPr>
        <w:t>Incap</w:t>
      </w:r>
      <w:proofErr w:type="spellEnd"/>
      <w:r w:rsidR="00B64233" w:rsidRPr="00D56334">
        <w:rPr>
          <w:rFonts w:cs="Arial"/>
        </w:rPr>
        <w:t xml:space="preserve"> and </w:t>
      </w:r>
      <w:proofErr w:type="spellStart"/>
      <w:r w:rsidR="00B64233" w:rsidRPr="00D56334">
        <w:rPr>
          <w:rFonts w:cs="Arial"/>
        </w:rPr>
        <w:t>Finnfund</w:t>
      </w:r>
      <w:proofErr w:type="spellEnd"/>
      <w:r w:rsidR="00B64233" w:rsidRPr="00D56334">
        <w:rPr>
          <w:rFonts w:cs="Arial"/>
        </w:rPr>
        <w:t xml:space="preserve"> have agreed on a one-month extension in repayment. Based on its investment, </w:t>
      </w:r>
      <w:proofErr w:type="spellStart"/>
      <w:r w:rsidR="00B64233" w:rsidRPr="00D56334">
        <w:rPr>
          <w:rFonts w:cs="Arial"/>
        </w:rPr>
        <w:t>Finnfund</w:t>
      </w:r>
      <w:proofErr w:type="spellEnd"/>
      <w:r w:rsidR="00B64233" w:rsidRPr="00D56334">
        <w:rPr>
          <w:rFonts w:cs="Arial"/>
        </w:rPr>
        <w:t xml:space="preserve"> has held 22.5% of the shares of </w:t>
      </w:r>
      <w:proofErr w:type="spellStart"/>
      <w:r w:rsidR="00B64233" w:rsidRPr="00D56334">
        <w:rPr>
          <w:rFonts w:cs="Arial"/>
        </w:rPr>
        <w:t>Incap</w:t>
      </w:r>
      <w:proofErr w:type="spellEnd"/>
      <w:r w:rsidR="00B64233" w:rsidRPr="00D56334">
        <w:rPr>
          <w:rFonts w:cs="Arial"/>
        </w:rPr>
        <w:t xml:space="preserve"> Contract Manufacturing Services </w:t>
      </w:r>
      <w:proofErr w:type="spellStart"/>
      <w:r w:rsidR="00B64233" w:rsidRPr="00D56334">
        <w:rPr>
          <w:rFonts w:cs="Arial"/>
        </w:rPr>
        <w:t>Pvt.</w:t>
      </w:r>
      <w:proofErr w:type="spellEnd"/>
      <w:r w:rsidR="00B64233" w:rsidRPr="00D56334">
        <w:rPr>
          <w:rFonts w:cs="Arial"/>
        </w:rPr>
        <w:t xml:space="preserve"> Ltd., and after the payment of the loan the subsidiary will be owned by 100% by </w:t>
      </w:r>
      <w:proofErr w:type="spellStart"/>
      <w:r w:rsidR="00B64233" w:rsidRPr="00D56334">
        <w:rPr>
          <w:rFonts w:cs="Arial"/>
        </w:rPr>
        <w:t>Incap</w:t>
      </w:r>
      <w:proofErr w:type="spellEnd"/>
      <w:r w:rsidR="00B64233" w:rsidRPr="00D56334">
        <w:rPr>
          <w:rFonts w:cs="Arial"/>
        </w:rPr>
        <w:t xml:space="preserve"> Corporation.</w:t>
      </w:r>
    </w:p>
    <w:p w:rsidR="002652F1" w:rsidRDefault="002652F1" w:rsidP="0065535F">
      <w:pPr>
        <w:ind w:left="709"/>
        <w:rPr>
          <w:rFonts w:cs="Arial"/>
        </w:rPr>
      </w:pPr>
    </w:p>
    <w:p w:rsidR="002652F1" w:rsidRDefault="002652F1" w:rsidP="0065535F">
      <w:pPr>
        <w:ind w:left="709"/>
        <w:rPr>
          <w:rFonts w:cs="Arial"/>
        </w:rPr>
      </w:pPr>
      <w:r>
        <w:rPr>
          <w:rFonts w:cs="Arial"/>
        </w:rPr>
        <w:t xml:space="preserve">The current </w:t>
      </w:r>
      <w:r w:rsidR="00F40F75">
        <w:rPr>
          <w:rFonts w:cs="Arial"/>
        </w:rPr>
        <w:t xml:space="preserve">interest-bearing </w:t>
      </w:r>
      <w:r>
        <w:rPr>
          <w:rFonts w:cs="Arial"/>
        </w:rPr>
        <w:t>liabilities of the company amounted to EUR 7.1 million</w:t>
      </w:r>
      <w:r w:rsidR="00F40F75">
        <w:rPr>
          <w:rFonts w:cs="Arial"/>
        </w:rPr>
        <w:t xml:space="preserve"> (EUR 7.1 million)</w:t>
      </w:r>
      <w:r>
        <w:rPr>
          <w:rFonts w:cs="Arial"/>
        </w:rPr>
        <w:t xml:space="preserve">. Out of this, EUR 3.3 million was related to the Indian subsidiary and included </w:t>
      </w:r>
      <w:proofErr w:type="spellStart"/>
      <w:r>
        <w:rPr>
          <w:rFonts w:cs="Arial"/>
        </w:rPr>
        <w:t>Finnfund’s</w:t>
      </w:r>
      <w:proofErr w:type="spellEnd"/>
      <w:r>
        <w:rPr>
          <w:rFonts w:cs="Arial"/>
        </w:rPr>
        <w:t xml:space="preserve"> investment in </w:t>
      </w:r>
      <w:proofErr w:type="spellStart"/>
      <w:r>
        <w:rPr>
          <w:rFonts w:cs="Arial"/>
        </w:rPr>
        <w:t>Incap</w:t>
      </w:r>
      <w:proofErr w:type="spellEnd"/>
      <w:r>
        <w:rPr>
          <w:rFonts w:cs="Arial"/>
        </w:rPr>
        <w:t xml:space="preserve"> India. Other current interest-bearing liabilities consist of bank loans and limits of EUR 3.4 million by the Finnish bank and factoring credit line amounting to EUR 0.4 million in Estonia.</w:t>
      </w:r>
    </w:p>
    <w:p w:rsidR="002652F1" w:rsidRDefault="002652F1" w:rsidP="0065535F">
      <w:pPr>
        <w:ind w:left="709"/>
        <w:rPr>
          <w:rFonts w:cs="Arial"/>
        </w:rPr>
      </w:pPr>
    </w:p>
    <w:p w:rsidR="002652F1" w:rsidRDefault="002652F1" w:rsidP="0065535F">
      <w:pPr>
        <w:ind w:left="709"/>
        <w:rPr>
          <w:rFonts w:cs="Arial"/>
        </w:rPr>
      </w:pPr>
      <w:r>
        <w:rPr>
          <w:rFonts w:cs="Arial"/>
        </w:rPr>
        <w:t xml:space="preserve">The rest of the loan from OP Bank (previous convertible loan 2007), amounting to approximately EUR 0.2 million, was </w:t>
      </w:r>
      <w:r w:rsidR="00AC525C">
        <w:rPr>
          <w:rFonts w:cs="Arial"/>
        </w:rPr>
        <w:t>repaid</w:t>
      </w:r>
      <w:r>
        <w:rPr>
          <w:rFonts w:cs="Arial"/>
        </w:rPr>
        <w:t xml:space="preserve"> in June 2015 and it no longer</w:t>
      </w:r>
      <w:r w:rsidR="00F40F75">
        <w:rPr>
          <w:rFonts w:cs="Arial"/>
        </w:rPr>
        <w:t xml:space="preserve"> was</w:t>
      </w:r>
      <w:r>
        <w:rPr>
          <w:rFonts w:cs="Arial"/>
        </w:rPr>
        <w:t xml:space="preserve"> included in the balance at the end of the reporting period.</w:t>
      </w:r>
    </w:p>
    <w:p w:rsidR="002652F1" w:rsidRDefault="002652F1" w:rsidP="0065535F">
      <w:pPr>
        <w:ind w:left="709"/>
        <w:rPr>
          <w:rFonts w:cs="Arial"/>
        </w:rPr>
      </w:pPr>
    </w:p>
    <w:p w:rsidR="00BA1968" w:rsidRPr="008951BF" w:rsidRDefault="00AC525C" w:rsidP="00F26DE6">
      <w:pPr>
        <w:ind w:left="709"/>
        <w:rPr>
          <w:rFonts w:cs="Arial"/>
        </w:rPr>
      </w:pPr>
      <w:r>
        <w:rPr>
          <w:rFonts w:cs="Arial"/>
        </w:rPr>
        <w:t>I</w:t>
      </w:r>
      <w:r w:rsidR="002652F1">
        <w:rPr>
          <w:rFonts w:cs="Arial"/>
        </w:rPr>
        <w:t xml:space="preserve">n the beginning of the reporting period </w:t>
      </w:r>
      <w:r>
        <w:rPr>
          <w:rFonts w:cs="Arial"/>
        </w:rPr>
        <w:t xml:space="preserve">the company agreed </w:t>
      </w:r>
      <w:r w:rsidR="00F26DE6" w:rsidRPr="00F26DE6">
        <w:rPr>
          <w:rFonts w:cs="Arial"/>
        </w:rPr>
        <w:t xml:space="preserve">with the </w:t>
      </w:r>
      <w:r w:rsidR="00F40F75">
        <w:rPr>
          <w:rFonts w:cs="Arial"/>
        </w:rPr>
        <w:t xml:space="preserve">Finnish </w:t>
      </w:r>
      <w:r w:rsidR="00F26DE6" w:rsidRPr="00F26DE6">
        <w:rPr>
          <w:rFonts w:cs="Arial"/>
        </w:rPr>
        <w:t>bank</w:t>
      </w:r>
      <w:r w:rsidR="00F26DE6">
        <w:rPr>
          <w:rFonts w:cs="Arial"/>
        </w:rPr>
        <w:t xml:space="preserve"> upon new conditions</w:t>
      </w:r>
      <w:r w:rsidR="00500D69">
        <w:rPr>
          <w:rFonts w:cs="Arial"/>
        </w:rPr>
        <w:t xml:space="preserve"> and instalment</w:t>
      </w:r>
      <w:r w:rsidR="009447CE">
        <w:rPr>
          <w:rFonts w:cs="Arial"/>
        </w:rPr>
        <w:t>s</w:t>
      </w:r>
      <w:r w:rsidR="00F26DE6">
        <w:rPr>
          <w:rFonts w:cs="Arial"/>
        </w:rPr>
        <w:t>. The covenants of the loans include EBITDA and equity ratio, and their status is reviewed every six months</w:t>
      </w:r>
      <w:r w:rsidR="009447CE">
        <w:rPr>
          <w:rFonts w:cs="Arial"/>
        </w:rPr>
        <w:t xml:space="preserve"> until 30 June 2018</w:t>
      </w:r>
      <w:r w:rsidR="00F26DE6">
        <w:rPr>
          <w:rFonts w:cs="Arial"/>
        </w:rPr>
        <w:t xml:space="preserve">. The first review </w:t>
      </w:r>
      <w:r w:rsidR="002652F1">
        <w:rPr>
          <w:rFonts w:cs="Arial"/>
        </w:rPr>
        <w:t>took</w:t>
      </w:r>
      <w:r w:rsidR="00F26DE6">
        <w:rPr>
          <w:rFonts w:cs="Arial"/>
        </w:rPr>
        <w:t xml:space="preserve"> place on 30 June 2015, when the target level </w:t>
      </w:r>
      <w:r w:rsidR="009447CE">
        <w:rPr>
          <w:rFonts w:cs="Arial"/>
        </w:rPr>
        <w:t>of</w:t>
      </w:r>
      <w:r w:rsidR="002652F1">
        <w:rPr>
          <w:rFonts w:cs="Arial"/>
        </w:rPr>
        <w:t xml:space="preserve"> EBITDA wa</w:t>
      </w:r>
      <w:r w:rsidR="00F26DE6">
        <w:rPr>
          <w:rFonts w:cs="Arial"/>
        </w:rPr>
        <w:t xml:space="preserve">s EUR 0.5 million and </w:t>
      </w:r>
      <w:r w:rsidR="009447CE">
        <w:rPr>
          <w:rFonts w:cs="Arial"/>
        </w:rPr>
        <w:t>of</w:t>
      </w:r>
      <w:r w:rsidR="00F26DE6">
        <w:rPr>
          <w:rFonts w:cs="Arial"/>
        </w:rPr>
        <w:t xml:space="preserve"> equity ratio 7.5%. </w:t>
      </w:r>
      <w:r w:rsidR="002652F1">
        <w:rPr>
          <w:rFonts w:cs="Arial"/>
        </w:rPr>
        <w:t xml:space="preserve">The company fulfilled these covenants, as </w:t>
      </w:r>
      <w:r w:rsidR="00C738E6">
        <w:rPr>
          <w:rFonts w:cs="Arial"/>
        </w:rPr>
        <w:t>the actual EBITDA on the review date was EUR 1.6 million and the equity ratio 26.3%.</w:t>
      </w:r>
    </w:p>
    <w:p w:rsidR="00BA1968" w:rsidRPr="008951BF" w:rsidRDefault="00BA1968" w:rsidP="0065535F">
      <w:pPr>
        <w:ind w:left="709"/>
        <w:rPr>
          <w:rFonts w:cs="Arial"/>
        </w:rPr>
      </w:pPr>
    </w:p>
    <w:p w:rsidR="0062370E" w:rsidRPr="008951BF" w:rsidRDefault="00C738E6" w:rsidP="0065535F">
      <w:pPr>
        <w:ind w:left="709"/>
        <w:rPr>
          <w:rFonts w:cs="Arial"/>
        </w:rPr>
      </w:pPr>
      <w:r>
        <w:rPr>
          <w:rFonts w:cs="Arial"/>
        </w:rPr>
        <w:t>The company has a</w:t>
      </w:r>
      <w:r w:rsidR="00BA1968" w:rsidRPr="008951BF">
        <w:rPr>
          <w:rFonts w:cs="Arial"/>
        </w:rPr>
        <w:t xml:space="preserve"> payment arrangement </w:t>
      </w:r>
      <w:r w:rsidR="0062370E" w:rsidRPr="008951BF">
        <w:rPr>
          <w:rFonts w:cs="Arial"/>
        </w:rPr>
        <w:t>with the Finnish Tax Administration</w:t>
      </w:r>
      <w:r>
        <w:rPr>
          <w:rFonts w:cs="Arial"/>
        </w:rPr>
        <w:t xml:space="preserve">, according to which </w:t>
      </w:r>
      <w:r w:rsidR="00BC5E04" w:rsidRPr="008951BF">
        <w:rPr>
          <w:rFonts w:cs="Arial"/>
        </w:rPr>
        <w:t xml:space="preserve">the company is </w:t>
      </w:r>
      <w:r w:rsidR="00080EFB">
        <w:rPr>
          <w:rFonts w:cs="Arial"/>
        </w:rPr>
        <w:t>reducing the</w:t>
      </w:r>
      <w:r w:rsidR="00BC5E04" w:rsidRPr="008951BF">
        <w:rPr>
          <w:rFonts w:cs="Arial"/>
        </w:rPr>
        <w:t xml:space="preserve"> tax liabilities by </w:t>
      </w:r>
      <w:r w:rsidR="00DA7025">
        <w:rPr>
          <w:rFonts w:cs="Arial"/>
        </w:rPr>
        <w:t xml:space="preserve">at least </w:t>
      </w:r>
      <w:r w:rsidR="00BC5E04" w:rsidRPr="008951BF">
        <w:rPr>
          <w:rFonts w:cs="Arial"/>
        </w:rPr>
        <w:t xml:space="preserve">EUR 20,500 monthly until February 2016. On </w:t>
      </w:r>
      <w:r>
        <w:rPr>
          <w:rFonts w:cs="Arial"/>
        </w:rPr>
        <w:t>30 June 2015</w:t>
      </w:r>
      <w:r w:rsidR="00BC5E04" w:rsidRPr="008951BF">
        <w:rPr>
          <w:rFonts w:cs="Arial"/>
        </w:rPr>
        <w:t>, the total amount of tax liabilities within the scope of this arrangement was EUR 0.</w:t>
      </w:r>
      <w:r>
        <w:rPr>
          <w:rFonts w:cs="Arial"/>
        </w:rPr>
        <w:t>1</w:t>
      </w:r>
      <w:r w:rsidR="00BC5E04" w:rsidRPr="008951BF">
        <w:rPr>
          <w:rFonts w:cs="Arial"/>
        </w:rPr>
        <w:t xml:space="preserve"> million. </w:t>
      </w:r>
      <w:r w:rsidR="0062370E" w:rsidRPr="008951BF">
        <w:rPr>
          <w:rFonts w:cs="Arial"/>
        </w:rPr>
        <w:t xml:space="preserve">According to the provisions of the agreement, if an instalment is </w:t>
      </w:r>
      <w:r>
        <w:rPr>
          <w:rFonts w:cs="Arial"/>
        </w:rPr>
        <w:t>delayed</w:t>
      </w:r>
      <w:r w:rsidR="0062370E" w:rsidRPr="008951BF">
        <w:rPr>
          <w:rFonts w:cs="Arial"/>
        </w:rPr>
        <w:t>, the Finnish Tax Administration has the right to terminate the agreement with immediate effect.</w:t>
      </w:r>
    </w:p>
    <w:p w:rsidR="00BC5E04" w:rsidRPr="008951BF" w:rsidRDefault="00BC5E04" w:rsidP="0065535F">
      <w:pPr>
        <w:ind w:left="709"/>
        <w:rPr>
          <w:rFonts w:cs="Arial"/>
        </w:rPr>
      </w:pPr>
    </w:p>
    <w:p w:rsidR="00BC5E04" w:rsidRDefault="00F52807" w:rsidP="0065535F">
      <w:pPr>
        <w:ind w:left="709"/>
        <w:rPr>
          <w:rFonts w:cs="Arial"/>
        </w:rPr>
      </w:pPr>
      <w:r>
        <w:rPr>
          <w:rFonts w:cs="Arial"/>
        </w:rPr>
        <w:t xml:space="preserve">As to the loans granted by the Indian bank the company has committed to follow ordinary covenants and the bank’s general loan conditions. </w:t>
      </w:r>
      <w:r w:rsidR="00BC5E04" w:rsidRPr="008951BF">
        <w:rPr>
          <w:rFonts w:cs="Arial"/>
        </w:rPr>
        <w:t xml:space="preserve"> </w:t>
      </w:r>
    </w:p>
    <w:p w:rsidR="001C3A4D" w:rsidRDefault="001C3A4D" w:rsidP="0065535F">
      <w:pPr>
        <w:ind w:left="709"/>
        <w:rPr>
          <w:rFonts w:cs="Arial"/>
        </w:rPr>
      </w:pPr>
    </w:p>
    <w:p w:rsidR="001C3A4D" w:rsidRDefault="001C3A4D" w:rsidP="0065535F">
      <w:pPr>
        <w:ind w:left="709"/>
        <w:rPr>
          <w:rFonts w:cs="Arial"/>
        </w:rPr>
      </w:pPr>
    </w:p>
    <w:p w:rsidR="00BC5E04" w:rsidRPr="008951BF" w:rsidRDefault="00BC5E04" w:rsidP="0065535F">
      <w:pPr>
        <w:ind w:left="709"/>
        <w:rPr>
          <w:rFonts w:cs="Arial"/>
        </w:rPr>
      </w:pPr>
    </w:p>
    <w:p w:rsidR="00BC5E04" w:rsidRPr="008951BF" w:rsidRDefault="00BC5E04" w:rsidP="0065535F">
      <w:pPr>
        <w:ind w:left="709"/>
        <w:rPr>
          <w:rFonts w:cs="Arial"/>
        </w:rPr>
      </w:pPr>
      <w:r w:rsidRPr="008951BF">
        <w:rPr>
          <w:rFonts w:cs="Arial"/>
        </w:rPr>
        <w:t xml:space="preserve"> </w:t>
      </w:r>
    </w:p>
    <w:tbl>
      <w:tblPr>
        <w:tblW w:w="8222" w:type="dxa"/>
        <w:tblInd w:w="817" w:type="dxa"/>
        <w:tblBorders>
          <w:insideH w:val="single" w:sz="18" w:space="0" w:color="FFFFFF"/>
          <w:insideV w:val="single" w:sz="18" w:space="0" w:color="FFFFFF"/>
        </w:tblBorders>
        <w:tblLook w:val="04A0" w:firstRow="1" w:lastRow="0" w:firstColumn="1" w:lastColumn="0" w:noHBand="0" w:noVBand="1"/>
      </w:tblPr>
      <w:tblGrid>
        <w:gridCol w:w="2410"/>
        <w:gridCol w:w="1754"/>
        <w:gridCol w:w="1560"/>
        <w:gridCol w:w="2498"/>
      </w:tblGrid>
      <w:tr w:rsidR="00BC5E04" w:rsidRPr="00645FE9" w:rsidTr="004D011F">
        <w:trPr>
          <w:trHeight w:val="315"/>
        </w:trPr>
        <w:tc>
          <w:tcPr>
            <w:tcW w:w="8222" w:type="dxa"/>
            <w:gridSpan w:val="4"/>
            <w:shd w:val="pct20" w:color="000000" w:fill="FFFFFF"/>
            <w:noWrap/>
            <w:vAlign w:val="center"/>
          </w:tcPr>
          <w:p w:rsidR="004D011F" w:rsidRDefault="004D011F" w:rsidP="00645FE9">
            <w:pPr>
              <w:ind w:left="426"/>
              <w:rPr>
                <w:rFonts w:cs="Arial"/>
                <w:b/>
                <w:bCs/>
                <w:color w:val="000000"/>
                <w:sz w:val="20"/>
                <w:lang w:val="en-US" w:eastAsia="fi-FI"/>
              </w:rPr>
            </w:pPr>
          </w:p>
          <w:p w:rsidR="00BC5E04" w:rsidRDefault="00645FE9" w:rsidP="00645FE9">
            <w:pPr>
              <w:ind w:left="426"/>
              <w:rPr>
                <w:rFonts w:cs="Arial"/>
                <w:b/>
                <w:bCs/>
                <w:color w:val="000000"/>
                <w:sz w:val="20"/>
                <w:lang w:val="en-US" w:eastAsia="fi-FI"/>
              </w:rPr>
            </w:pPr>
            <w:r w:rsidRPr="00645FE9">
              <w:rPr>
                <w:rFonts w:cs="Arial"/>
                <w:b/>
                <w:bCs/>
                <w:color w:val="000000"/>
                <w:sz w:val="20"/>
                <w:lang w:val="en-US" w:eastAsia="fi-FI"/>
              </w:rPr>
              <w:t>INSTALMENTS AND INTERESTS OF LOANS</w:t>
            </w:r>
            <w:r w:rsidR="00BC5E04" w:rsidRPr="00645FE9">
              <w:rPr>
                <w:rFonts w:cs="Arial"/>
                <w:b/>
                <w:bCs/>
                <w:color w:val="000000"/>
                <w:sz w:val="20"/>
                <w:lang w:val="en-US" w:eastAsia="fi-FI"/>
              </w:rPr>
              <w:t xml:space="preserve"> (1</w:t>
            </w:r>
            <w:r w:rsidRPr="00645FE9">
              <w:rPr>
                <w:rFonts w:cs="Arial"/>
                <w:b/>
                <w:bCs/>
                <w:color w:val="000000"/>
                <w:sz w:val="20"/>
                <w:lang w:val="en-US" w:eastAsia="fi-FI"/>
              </w:rPr>
              <w:t>,</w:t>
            </w:r>
            <w:r w:rsidR="00BC5E04" w:rsidRPr="00645FE9">
              <w:rPr>
                <w:rFonts w:cs="Arial"/>
                <w:b/>
                <w:bCs/>
                <w:color w:val="000000"/>
                <w:sz w:val="20"/>
                <w:lang w:val="en-US" w:eastAsia="fi-FI"/>
              </w:rPr>
              <w:t>000 euro</w:t>
            </w:r>
            <w:r>
              <w:rPr>
                <w:rFonts w:cs="Arial"/>
                <w:b/>
                <w:bCs/>
                <w:color w:val="000000"/>
                <w:sz w:val="20"/>
                <w:lang w:val="en-US" w:eastAsia="fi-FI"/>
              </w:rPr>
              <w:t>s</w:t>
            </w:r>
            <w:r w:rsidR="00BC5E04" w:rsidRPr="00645FE9">
              <w:rPr>
                <w:rFonts w:cs="Arial"/>
                <w:b/>
                <w:bCs/>
                <w:color w:val="000000"/>
                <w:sz w:val="20"/>
                <w:lang w:val="en-US" w:eastAsia="fi-FI"/>
              </w:rPr>
              <w:t>)</w:t>
            </w:r>
          </w:p>
          <w:p w:rsidR="004D011F" w:rsidRPr="00645FE9" w:rsidRDefault="004D011F" w:rsidP="00645FE9">
            <w:pPr>
              <w:ind w:left="426"/>
              <w:rPr>
                <w:rFonts w:cs="Arial"/>
                <w:b/>
                <w:bCs/>
                <w:color w:val="000000"/>
                <w:sz w:val="20"/>
                <w:lang w:val="en-US" w:eastAsia="fi-FI"/>
              </w:rPr>
            </w:pPr>
          </w:p>
        </w:tc>
      </w:tr>
      <w:tr w:rsidR="00BC5E04" w:rsidRPr="00080EFB" w:rsidTr="004D011F">
        <w:trPr>
          <w:trHeight w:val="315"/>
        </w:trPr>
        <w:tc>
          <w:tcPr>
            <w:tcW w:w="2410" w:type="dxa"/>
            <w:shd w:val="pct20" w:color="000000" w:fill="FFFFFF"/>
            <w:noWrap/>
            <w:vAlign w:val="center"/>
            <w:hideMark/>
          </w:tcPr>
          <w:p w:rsidR="00BC5E04" w:rsidRDefault="00BC5E04" w:rsidP="00263206">
            <w:pPr>
              <w:ind w:left="426"/>
              <w:rPr>
                <w:rFonts w:cs="Arial"/>
                <w:b/>
                <w:bCs/>
                <w:color w:val="000000"/>
                <w:sz w:val="20"/>
                <w:lang w:val="en-US" w:eastAsia="fi-FI"/>
              </w:rPr>
            </w:pPr>
          </w:p>
          <w:p w:rsidR="004D011F" w:rsidRPr="00645FE9" w:rsidRDefault="004D011F" w:rsidP="00263206">
            <w:pPr>
              <w:ind w:left="426"/>
              <w:rPr>
                <w:rFonts w:cs="Arial"/>
                <w:b/>
                <w:bCs/>
                <w:color w:val="000000"/>
                <w:sz w:val="20"/>
                <w:lang w:val="en-US" w:eastAsia="fi-FI"/>
              </w:rPr>
            </w:pPr>
          </w:p>
        </w:tc>
        <w:tc>
          <w:tcPr>
            <w:tcW w:w="1754" w:type="dxa"/>
            <w:shd w:val="pct20" w:color="000000" w:fill="FFFFFF"/>
            <w:noWrap/>
            <w:vAlign w:val="center"/>
            <w:hideMark/>
          </w:tcPr>
          <w:p w:rsidR="00BC5E04" w:rsidRPr="00080EFB" w:rsidRDefault="00645FE9" w:rsidP="00263206">
            <w:pPr>
              <w:ind w:left="426"/>
              <w:jc w:val="right"/>
              <w:rPr>
                <w:rFonts w:cs="Arial"/>
                <w:b/>
                <w:bCs/>
                <w:color w:val="000000"/>
                <w:sz w:val="20"/>
                <w:lang w:val="fi-FI" w:eastAsia="fi-FI"/>
              </w:rPr>
            </w:pPr>
            <w:proofErr w:type="spellStart"/>
            <w:r>
              <w:rPr>
                <w:rFonts w:cs="Arial"/>
                <w:b/>
                <w:bCs/>
                <w:color w:val="000000"/>
                <w:sz w:val="20"/>
                <w:lang w:val="fi-FI" w:eastAsia="fi-FI"/>
              </w:rPr>
              <w:t>Instalments</w:t>
            </w:r>
            <w:proofErr w:type="spellEnd"/>
          </w:p>
        </w:tc>
        <w:tc>
          <w:tcPr>
            <w:tcW w:w="1560" w:type="dxa"/>
            <w:shd w:val="pct20" w:color="000000" w:fill="FFFFFF"/>
            <w:noWrap/>
            <w:vAlign w:val="center"/>
            <w:hideMark/>
          </w:tcPr>
          <w:p w:rsidR="00BC5E04" w:rsidRPr="00080EFB" w:rsidRDefault="00645FE9" w:rsidP="00263206">
            <w:pPr>
              <w:ind w:left="426"/>
              <w:jc w:val="right"/>
              <w:rPr>
                <w:rFonts w:cs="Arial"/>
                <w:b/>
                <w:bCs/>
                <w:color w:val="000000"/>
                <w:sz w:val="20"/>
                <w:lang w:val="fi-FI" w:eastAsia="fi-FI"/>
              </w:rPr>
            </w:pPr>
            <w:proofErr w:type="spellStart"/>
            <w:r>
              <w:rPr>
                <w:rFonts w:cs="Arial"/>
                <w:b/>
                <w:bCs/>
                <w:color w:val="000000"/>
                <w:sz w:val="20"/>
                <w:lang w:val="fi-FI" w:eastAsia="fi-FI"/>
              </w:rPr>
              <w:t>Interests</w:t>
            </w:r>
            <w:proofErr w:type="spellEnd"/>
          </w:p>
        </w:tc>
        <w:tc>
          <w:tcPr>
            <w:tcW w:w="2498" w:type="dxa"/>
            <w:shd w:val="pct20" w:color="000000" w:fill="FFFFFF"/>
            <w:noWrap/>
            <w:vAlign w:val="center"/>
            <w:hideMark/>
          </w:tcPr>
          <w:p w:rsidR="00BC5E04" w:rsidRPr="00080EFB" w:rsidRDefault="00F40F75" w:rsidP="004D011F">
            <w:pPr>
              <w:jc w:val="right"/>
              <w:rPr>
                <w:rFonts w:cs="Arial"/>
                <w:b/>
                <w:bCs/>
                <w:color w:val="000000"/>
                <w:sz w:val="20"/>
                <w:lang w:val="fi-FI" w:eastAsia="fi-FI"/>
              </w:rPr>
            </w:pPr>
            <w:r>
              <w:rPr>
                <w:rFonts w:cs="Arial"/>
                <w:b/>
                <w:bCs/>
                <w:color w:val="000000"/>
                <w:sz w:val="20"/>
                <w:lang w:val="fi-FI" w:eastAsia="fi-FI"/>
              </w:rPr>
              <w:t xml:space="preserve">30 </w:t>
            </w:r>
            <w:proofErr w:type="spellStart"/>
            <w:r>
              <w:rPr>
                <w:rFonts w:cs="Arial"/>
                <w:b/>
                <w:bCs/>
                <w:color w:val="000000"/>
                <w:sz w:val="20"/>
                <w:lang w:val="fi-FI" w:eastAsia="fi-FI"/>
              </w:rPr>
              <w:t>June</w:t>
            </w:r>
            <w:proofErr w:type="spellEnd"/>
            <w:r>
              <w:rPr>
                <w:rFonts w:cs="Arial"/>
                <w:b/>
                <w:bCs/>
                <w:color w:val="000000"/>
                <w:sz w:val="20"/>
                <w:lang w:val="fi-FI" w:eastAsia="fi-FI"/>
              </w:rPr>
              <w:t xml:space="preserve"> 2015</w:t>
            </w:r>
            <w:r w:rsidR="004D011F">
              <w:rPr>
                <w:rFonts w:cs="Arial"/>
                <w:b/>
                <w:bCs/>
                <w:color w:val="000000"/>
                <w:sz w:val="20"/>
                <w:lang w:val="fi-FI" w:eastAsia="fi-FI"/>
              </w:rPr>
              <w:t xml:space="preserve"> Total</w:t>
            </w:r>
          </w:p>
        </w:tc>
      </w:tr>
      <w:tr w:rsidR="00C738E6" w:rsidRPr="00080EFB" w:rsidTr="004D011F">
        <w:trPr>
          <w:trHeight w:val="300"/>
        </w:trPr>
        <w:tc>
          <w:tcPr>
            <w:tcW w:w="2410" w:type="dxa"/>
            <w:shd w:val="pct5" w:color="000000" w:fill="FFFFFF"/>
            <w:noWrap/>
            <w:vAlign w:val="center"/>
            <w:hideMark/>
          </w:tcPr>
          <w:p w:rsidR="00C738E6" w:rsidRPr="00080EFB" w:rsidRDefault="00C738E6" w:rsidP="00645FE9">
            <w:pPr>
              <w:ind w:left="426"/>
              <w:rPr>
                <w:rFonts w:cs="Arial"/>
                <w:color w:val="000000"/>
                <w:sz w:val="20"/>
                <w:lang w:val="fi-FI" w:eastAsia="fi-FI"/>
              </w:rPr>
            </w:pPr>
            <w:proofErr w:type="spellStart"/>
            <w:r>
              <w:rPr>
                <w:rFonts w:cs="Arial"/>
                <w:color w:val="000000"/>
                <w:sz w:val="20"/>
                <w:lang w:val="fi-FI" w:eastAsia="fi-FI"/>
              </w:rPr>
              <w:t>Less</w:t>
            </w:r>
            <w:proofErr w:type="spellEnd"/>
            <w:r>
              <w:rPr>
                <w:rFonts w:cs="Arial"/>
                <w:color w:val="000000"/>
                <w:sz w:val="20"/>
                <w:lang w:val="fi-FI" w:eastAsia="fi-FI"/>
              </w:rPr>
              <w:t xml:space="preserve"> </w:t>
            </w:r>
            <w:proofErr w:type="spellStart"/>
            <w:r>
              <w:rPr>
                <w:rFonts w:cs="Arial"/>
                <w:color w:val="000000"/>
                <w:sz w:val="20"/>
                <w:lang w:val="fi-FI" w:eastAsia="fi-FI"/>
              </w:rPr>
              <w:t>than</w:t>
            </w:r>
            <w:proofErr w:type="spellEnd"/>
            <w:r w:rsidRPr="00080EFB">
              <w:rPr>
                <w:rFonts w:cs="Arial"/>
                <w:color w:val="000000"/>
                <w:sz w:val="20"/>
                <w:lang w:val="fi-FI" w:eastAsia="fi-FI"/>
              </w:rPr>
              <w:t xml:space="preserve"> 6 </w:t>
            </w:r>
            <w:proofErr w:type="spellStart"/>
            <w:r>
              <w:rPr>
                <w:rFonts w:cs="Arial"/>
                <w:color w:val="000000"/>
                <w:sz w:val="20"/>
                <w:lang w:val="fi-FI" w:eastAsia="fi-FI"/>
              </w:rPr>
              <w:t>months</w:t>
            </w:r>
            <w:proofErr w:type="spellEnd"/>
          </w:p>
        </w:tc>
        <w:tc>
          <w:tcPr>
            <w:tcW w:w="1754" w:type="dxa"/>
            <w:shd w:val="pct5" w:color="000000" w:fill="FFFFFF"/>
            <w:noWrap/>
            <w:vAlign w:val="bottom"/>
          </w:tcPr>
          <w:p w:rsidR="00C738E6" w:rsidRPr="008325BE" w:rsidRDefault="00C738E6" w:rsidP="00CF3D7D">
            <w:pPr>
              <w:jc w:val="right"/>
              <w:rPr>
                <w:rFonts w:cs="Arial"/>
                <w:sz w:val="20"/>
                <w:szCs w:val="20"/>
                <w:lang w:val="fi-FI" w:eastAsia="fi-FI"/>
              </w:rPr>
            </w:pPr>
            <w:proofErr w:type="gramStart"/>
            <w:r w:rsidRPr="008325BE">
              <w:rPr>
                <w:rFonts w:cs="Arial"/>
                <w:sz w:val="20"/>
                <w:szCs w:val="20"/>
                <w:lang w:val="fi-FI" w:eastAsia="fi-FI"/>
              </w:rPr>
              <w:t>-</w:t>
            </w:r>
            <w:proofErr w:type="gramEnd"/>
            <w:r w:rsidRPr="008325BE">
              <w:rPr>
                <w:rFonts w:cs="Arial"/>
                <w:sz w:val="20"/>
                <w:szCs w:val="20"/>
                <w:lang w:val="fi-FI" w:eastAsia="fi-FI"/>
              </w:rPr>
              <w:t>4</w:t>
            </w:r>
            <w:r>
              <w:rPr>
                <w:rFonts w:cs="Arial"/>
                <w:sz w:val="20"/>
                <w:szCs w:val="20"/>
                <w:lang w:val="fi-FI" w:eastAsia="fi-FI"/>
              </w:rPr>
              <w:t>,</w:t>
            </w:r>
            <w:r w:rsidRPr="008325BE">
              <w:rPr>
                <w:rFonts w:cs="Arial"/>
                <w:sz w:val="20"/>
                <w:szCs w:val="20"/>
                <w:lang w:val="fi-FI" w:eastAsia="fi-FI"/>
              </w:rPr>
              <w:t>033</w:t>
            </w:r>
          </w:p>
        </w:tc>
        <w:tc>
          <w:tcPr>
            <w:tcW w:w="1560" w:type="dxa"/>
            <w:shd w:val="pct5" w:color="000000" w:fill="FFFFFF"/>
            <w:noWrap/>
            <w:vAlign w:val="bottom"/>
          </w:tcPr>
          <w:p w:rsidR="00C738E6" w:rsidRPr="008325BE" w:rsidRDefault="00C738E6" w:rsidP="00CF3D7D">
            <w:pPr>
              <w:jc w:val="right"/>
              <w:rPr>
                <w:rFonts w:cs="Arial"/>
                <w:sz w:val="20"/>
                <w:szCs w:val="20"/>
                <w:lang w:val="fi-FI" w:eastAsia="fi-FI"/>
              </w:rPr>
            </w:pPr>
            <w:proofErr w:type="gramStart"/>
            <w:r w:rsidRPr="008325BE">
              <w:rPr>
                <w:rFonts w:cs="Arial"/>
                <w:sz w:val="20"/>
                <w:szCs w:val="20"/>
                <w:lang w:val="fi-FI" w:eastAsia="fi-FI"/>
              </w:rPr>
              <w:t>-</w:t>
            </w:r>
            <w:proofErr w:type="gramEnd"/>
            <w:r w:rsidRPr="008325BE">
              <w:rPr>
                <w:rFonts w:cs="Arial"/>
                <w:sz w:val="20"/>
                <w:szCs w:val="20"/>
                <w:lang w:val="fi-FI" w:eastAsia="fi-FI"/>
              </w:rPr>
              <w:t>100</w:t>
            </w:r>
          </w:p>
        </w:tc>
        <w:tc>
          <w:tcPr>
            <w:tcW w:w="2498" w:type="dxa"/>
            <w:shd w:val="pct5" w:color="000000" w:fill="FFFFFF"/>
            <w:noWrap/>
            <w:vAlign w:val="bottom"/>
          </w:tcPr>
          <w:p w:rsidR="00C738E6" w:rsidRPr="008325BE" w:rsidRDefault="00C738E6" w:rsidP="00CF3D7D">
            <w:pPr>
              <w:jc w:val="right"/>
              <w:rPr>
                <w:rFonts w:cs="Arial"/>
                <w:sz w:val="20"/>
                <w:szCs w:val="20"/>
                <w:lang w:val="fi-FI" w:eastAsia="fi-FI"/>
              </w:rPr>
            </w:pPr>
            <w:proofErr w:type="gramStart"/>
            <w:r w:rsidRPr="008325BE">
              <w:rPr>
                <w:rFonts w:cs="Arial"/>
                <w:sz w:val="20"/>
                <w:szCs w:val="20"/>
                <w:lang w:val="fi-FI" w:eastAsia="fi-FI"/>
              </w:rPr>
              <w:t>-</w:t>
            </w:r>
            <w:proofErr w:type="gramEnd"/>
            <w:r>
              <w:rPr>
                <w:rFonts w:cs="Arial"/>
                <w:sz w:val="20"/>
                <w:szCs w:val="20"/>
                <w:lang w:val="fi-FI" w:eastAsia="fi-FI"/>
              </w:rPr>
              <w:t>4,</w:t>
            </w:r>
            <w:r w:rsidRPr="008325BE">
              <w:rPr>
                <w:rFonts w:cs="Arial"/>
                <w:sz w:val="20"/>
                <w:szCs w:val="20"/>
                <w:lang w:val="fi-FI" w:eastAsia="fi-FI"/>
              </w:rPr>
              <w:t>132</w:t>
            </w:r>
          </w:p>
        </w:tc>
      </w:tr>
      <w:tr w:rsidR="00C738E6" w:rsidRPr="00080EFB" w:rsidTr="004D011F">
        <w:trPr>
          <w:trHeight w:val="300"/>
        </w:trPr>
        <w:tc>
          <w:tcPr>
            <w:tcW w:w="2410" w:type="dxa"/>
            <w:shd w:val="pct20" w:color="000000" w:fill="FFFFFF"/>
            <w:noWrap/>
            <w:vAlign w:val="center"/>
            <w:hideMark/>
          </w:tcPr>
          <w:p w:rsidR="00C738E6" w:rsidRPr="00080EFB" w:rsidRDefault="00C738E6" w:rsidP="00645FE9">
            <w:pPr>
              <w:ind w:left="426"/>
              <w:rPr>
                <w:rFonts w:cs="Arial"/>
                <w:color w:val="000000"/>
                <w:sz w:val="20"/>
                <w:lang w:val="fi-FI" w:eastAsia="fi-FI"/>
              </w:rPr>
            </w:pPr>
            <w:r w:rsidRPr="00080EFB">
              <w:rPr>
                <w:rFonts w:cs="Arial"/>
                <w:color w:val="000000"/>
                <w:sz w:val="20"/>
                <w:lang w:val="fi-FI" w:eastAsia="fi-FI"/>
              </w:rPr>
              <w:t>6</w:t>
            </w:r>
            <w:r>
              <w:rPr>
                <w:rFonts w:cs="Arial"/>
                <w:color w:val="000000"/>
                <w:sz w:val="20"/>
                <w:lang w:val="fi-FI" w:eastAsia="fi-FI"/>
              </w:rPr>
              <w:t xml:space="preserve">-12 </w:t>
            </w:r>
            <w:proofErr w:type="spellStart"/>
            <w:r>
              <w:rPr>
                <w:rFonts w:cs="Arial"/>
                <w:color w:val="000000"/>
                <w:sz w:val="20"/>
                <w:lang w:val="fi-FI" w:eastAsia="fi-FI"/>
              </w:rPr>
              <w:t>months</w:t>
            </w:r>
            <w:proofErr w:type="spellEnd"/>
          </w:p>
        </w:tc>
        <w:tc>
          <w:tcPr>
            <w:tcW w:w="1754" w:type="dxa"/>
            <w:shd w:val="pct20" w:color="000000" w:fill="FFFFFF"/>
            <w:noWrap/>
            <w:vAlign w:val="bottom"/>
          </w:tcPr>
          <w:p w:rsidR="00C738E6" w:rsidRPr="008325BE" w:rsidRDefault="00C738E6" w:rsidP="00CF3D7D">
            <w:pPr>
              <w:jc w:val="right"/>
              <w:rPr>
                <w:rFonts w:cs="Arial"/>
                <w:sz w:val="20"/>
                <w:szCs w:val="20"/>
                <w:lang w:val="fi-FI" w:eastAsia="fi-FI"/>
              </w:rPr>
            </w:pPr>
            <w:proofErr w:type="gramStart"/>
            <w:r w:rsidRPr="008325BE">
              <w:rPr>
                <w:rFonts w:cs="Arial"/>
                <w:sz w:val="20"/>
                <w:szCs w:val="20"/>
                <w:lang w:val="fi-FI" w:eastAsia="fi-FI"/>
              </w:rPr>
              <w:t>-</w:t>
            </w:r>
            <w:proofErr w:type="gramEnd"/>
            <w:r w:rsidRPr="008325BE">
              <w:rPr>
                <w:rFonts w:cs="Arial"/>
                <w:sz w:val="20"/>
                <w:szCs w:val="20"/>
                <w:lang w:val="fi-FI" w:eastAsia="fi-FI"/>
              </w:rPr>
              <w:t>250</w:t>
            </w:r>
          </w:p>
        </w:tc>
        <w:tc>
          <w:tcPr>
            <w:tcW w:w="1560" w:type="dxa"/>
            <w:shd w:val="pct20" w:color="000000" w:fill="FFFFFF"/>
            <w:noWrap/>
            <w:vAlign w:val="bottom"/>
          </w:tcPr>
          <w:p w:rsidR="00C738E6" w:rsidRPr="008325BE" w:rsidRDefault="00C738E6" w:rsidP="00CF3D7D">
            <w:pPr>
              <w:jc w:val="right"/>
              <w:rPr>
                <w:rFonts w:cs="Arial"/>
                <w:sz w:val="20"/>
                <w:szCs w:val="20"/>
                <w:lang w:val="fi-FI" w:eastAsia="fi-FI"/>
              </w:rPr>
            </w:pPr>
            <w:proofErr w:type="gramStart"/>
            <w:r w:rsidRPr="008325BE">
              <w:rPr>
                <w:rFonts w:cs="Arial"/>
                <w:sz w:val="20"/>
                <w:szCs w:val="20"/>
                <w:lang w:val="fi-FI" w:eastAsia="fi-FI"/>
              </w:rPr>
              <w:t>-</w:t>
            </w:r>
            <w:proofErr w:type="gramEnd"/>
            <w:r w:rsidRPr="008325BE">
              <w:rPr>
                <w:rFonts w:cs="Arial"/>
                <w:sz w:val="20"/>
                <w:szCs w:val="20"/>
                <w:lang w:val="fi-FI" w:eastAsia="fi-FI"/>
              </w:rPr>
              <w:t>78</w:t>
            </w:r>
          </w:p>
        </w:tc>
        <w:tc>
          <w:tcPr>
            <w:tcW w:w="2498" w:type="dxa"/>
            <w:shd w:val="pct20" w:color="000000" w:fill="FFFFFF"/>
            <w:noWrap/>
            <w:vAlign w:val="bottom"/>
          </w:tcPr>
          <w:p w:rsidR="00C738E6" w:rsidRPr="008325BE" w:rsidRDefault="00C738E6" w:rsidP="00CF3D7D">
            <w:pPr>
              <w:jc w:val="right"/>
              <w:rPr>
                <w:rFonts w:cs="Arial"/>
                <w:sz w:val="20"/>
                <w:szCs w:val="20"/>
                <w:lang w:val="fi-FI" w:eastAsia="fi-FI"/>
              </w:rPr>
            </w:pPr>
            <w:proofErr w:type="gramStart"/>
            <w:r w:rsidRPr="008325BE">
              <w:rPr>
                <w:rFonts w:cs="Arial"/>
                <w:sz w:val="20"/>
                <w:szCs w:val="20"/>
                <w:lang w:val="fi-FI" w:eastAsia="fi-FI"/>
              </w:rPr>
              <w:t>-</w:t>
            </w:r>
            <w:proofErr w:type="gramEnd"/>
            <w:r w:rsidRPr="008325BE">
              <w:rPr>
                <w:rFonts w:cs="Arial"/>
                <w:sz w:val="20"/>
                <w:szCs w:val="20"/>
                <w:lang w:val="fi-FI" w:eastAsia="fi-FI"/>
              </w:rPr>
              <w:t>328</w:t>
            </w:r>
          </w:p>
        </w:tc>
      </w:tr>
      <w:tr w:rsidR="00C738E6" w:rsidRPr="00080EFB" w:rsidTr="004D011F">
        <w:trPr>
          <w:trHeight w:val="300"/>
        </w:trPr>
        <w:tc>
          <w:tcPr>
            <w:tcW w:w="2410" w:type="dxa"/>
            <w:shd w:val="pct5" w:color="000000" w:fill="FFFFFF"/>
            <w:noWrap/>
            <w:vAlign w:val="center"/>
            <w:hideMark/>
          </w:tcPr>
          <w:p w:rsidR="00C738E6" w:rsidRPr="00080EFB" w:rsidRDefault="00C738E6" w:rsidP="00645FE9">
            <w:pPr>
              <w:ind w:left="426"/>
              <w:rPr>
                <w:rFonts w:cs="Arial"/>
                <w:color w:val="000000"/>
                <w:sz w:val="20"/>
                <w:lang w:val="fi-FI" w:eastAsia="fi-FI"/>
              </w:rPr>
            </w:pPr>
            <w:r w:rsidRPr="00080EFB">
              <w:rPr>
                <w:rFonts w:cs="Arial"/>
                <w:color w:val="000000"/>
                <w:sz w:val="20"/>
                <w:lang w:val="fi-FI" w:eastAsia="fi-FI"/>
              </w:rPr>
              <w:t>1</w:t>
            </w:r>
            <w:r>
              <w:rPr>
                <w:rFonts w:cs="Arial"/>
                <w:color w:val="000000"/>
                <w:sz w:val="20"/>
                <w:lang w:val="fi-FI" w:eastAsia="fi-FI"/>
              </w:rPr>
              <w:t>-</w:t>
            </w:r>
            <w:r w:rsidRPr="00080EFB">
              <w:rPr>
                <w:rFonts w:cs="Arial"/>
                <w:color w:val="000000"/>
                <w:sz w:val="20"/>
                <w:lang w:val="fi-FI" w:eastAsia="fi-FI"/>
              </w:rPr>
              <w:t xml:space="preserve">5 </w:t>
            </w:r>
            <w:proofErr w:type="spellStart"/>
            <w:r>
              <w:rPr>
                <w:rFonts w:cs="Arial"/>
                <w:color w:val="000000"/>
                <w:sz w:val="20"/>
                <w:lang w:val="fi-FI" w:eastAsia="fi-FI"/>
              </w:rPr>
              <w:t>years</w:t>
            </w:r>
            <w:proofErr w:type="spellEnd"/>
          </w:p>
        </w:tc>
        <w:tc>
          <w:tcPr>
            <w:tcW w:w="1754" w:type="dxa"/>
            <w:shd w:val="pct5" w:color="000000" w:fill="FFFFFF"/>
            <w:noWrap/>
            <w:vAlign w:val="bottom"/>
          </w:tcPr>
          <w:p w:rsidR="00C738E6" w:rsidRPr="008325BE" w:rsidRDefault="00C738E6" w:rsidP="00CF3D7D">
            <w:pPr>
              <w:jc w:val="right"/>
              <w:rPr>
                <w:rFonts w:cs="Arial"/>
                <w:sz w:val="20"/>
                <w:szCs w:val="20"/>
                <w:lang w:val="fi-FI" w:eastAsia="fi-FI"/>
              </w:rPr>
            </w:pPr>
            <w:proofErr w:type="gramStart"/>
            <w:r w:rsidRPr="008325BE">
              <w:rPr>
                <w:rFonts w:cs="Arial"/>
                <w:sz w:val="20"/>
                <w:szCs w:val="20"/>
                <w:lang w:val="fi-FI" w:eastAsia="fi-FI"/>
              </w:rPr>
              <w:t>-</w:t>
            </w:r>
            <w:proofErr w:type="gramEnd"/>
            <w:r>
              <w:rPr>
                <w:rFonts w:cs="Arial"/>
                <w:sz w:val="20"/>
                <w:szCs w:val="20"/>
                <w:lang w:val="fi-FI" w:eastAsia="fi-FI"/>
              </w:rPr>
              <w:t>3,</w:t>
            </w:r>
            <w:r w:rsidRPr="008325BE">
              <w:rPr>
                <w:rFonts w:cs="Arial"/>
                <w:sz w:val="20"/>
                <w:szCs w:val="20"/>
                <w:lang w:val="fi-FI" w:eastAsia="fi-FI"/>
              </w:rPr>
              <w:t>069</w:t>
            </w:r>
          </w:p>
        </w:tc>
        <w:tc>
          <w:tcPr>
            <w:tcW w:w="1560" w:type="dxa"/>
            <w:shd w:val="pct5" w:color="000000" w:fill="FFFFFF"/>
            <w:noWrap/>
            <w:vAlign w:val="bottom"/>
          </w:tcPr>
          <w:p w:rsidR="00C738E6" w:rsidRPr="008325BE" w:rsidRDefault="00C738E6" w:rsidP="00CF3D7D">
            <w:pPr>
              <w:jc w:val="right"/>
              <w:rPr>
                <w:rFonts w:cs="Arial"/>
                <w:sz w:val="20"/>
                <w:szCs w:val="20"/>
                <w:lang w:val="fi-FI" w:eastAsia="fi-FI"/>
              </w:rPr>
            </w:pPr>
            <w:proofErr w:type="gramStart"/>
            <w:r w:rsidRPr="008325BE">
              <w:rPr>
                <w:rFonts w:cs="Arial"/>
                <w:sz w:val="20"/>
                <w:szCs w:val="20"/>
                <w:lang w:val="fi-FI" w:eastAsia="fi-FI"/>
              </w:rPr>
              <w:t>-</w:t>
            </w:r>
            <w:proofErr w:type="gramEnd"/>
            <w:r w:rsidRPr="008325BE">
              <w:rPr>
                <w:rFonts w:cs="Arial"/>
                <w:sz w:val="20"/>
                <w:szCs w:val="20"/>
                <w:lang w:val="fi-FI" w:eastAsia="fi-FI"/>
              </w:rPr>
              <w:t>161</w:t>
            </w:r>
          </w:p>
        </w:tc>
        <w:tc>
          <w:tcPr>
            <w:tcW w:w="2498" w:type="dxa"/>
            <w:shd w:val="pct5" w:color="000000" w:fill="FFFFFF"/>
            <w:noWrap/>
            <w:vAlign w:val="bottom"/>
          </w:tcPr>
          <w:p w:rsidR="00C738E6" w:rsidRPr="008325BE" w:rsidRDefault="00C738E6" w:rsidP="00CF3D7D">
            <w:pPr>
              <w:jc w:val="right"/>
              <w:rPr>
                <w:rFonts w:cs="Arial"/>
                <w:sz w:val="20"/>
                <w:szCs w:val="20"/>
                <w:lang w:val="fi-FI" w:eastAsia="fi-FI"/>
              </w:rPr>
            </w:pPr>
            <w:proofErr w:type="gramStart"/>
            <w:r>
              <w:rPr>
                <w:rFonts w:cs="Arial"/>
                <w:sz w:val="20"/>
                <w:szCs w:val="20"/>
                <w:lang w:val="fi-FI" w:eastAsia="fi-FI"/>
              </w:rPr>
              <w:t>-</w:t>
            </w:r>
            <w:proofErr w:type="gramEnd"/>
            <w:r>
              <w:rPr>
                <w:rFonts w:cs="Arial"/>
                <w:sz w:val="20"/>
                <w:szCs w:val="20"/>
                <w:lang w:val="fi-FI" w:eastAsia="fi-FI"/>
              </w:rPr>
              <w:t>3,</w:t>
            </w:r>
            <w:r w:rsidRPr="008325BE">
              <w:rPr>
                <w:rFonts w:cs="Arial"/>
                <w:sz w:val="20"/>
                <w:szCs w:val="20"/>
                <w:lang w:val="fi-FI" w:eastAsia="fi-FI"/>
              </w:rPr>
              <w:t>231</w:t>
            </w:r>
          </w:p>
        </w:tc>
      </w:tr>
      <w:tr w:rsidR="00C738E6" w:rsidRPr="00080EFB" w:rsidTr="004D011F">
        <w:trPr>
          <w:trHeight w:val="315"/>
        </w:trPr>
        <w:tc>
          <w:tcPr>
            <w:tcW w:w="2410" w:type="dxa"/>
            <w:shd w:val="pct20" w:color="000000" w:fill="FFFFFF"/>
            <w:noWrap/>
            <w:vAlign w:val="center"/>
            <w:hideMark/>
          </w:tcPr>
          <w:p w:rsidR="00C738E6" w:rsidRPr="00080EFB" w:rsidRDefault="00C738E6" w:rsidP="00645FE9">
            <w:pPr>
              <w:ind w:left="426"/>
              <w:rPr>
                <w:rFonts w:cs="Arial"/>
                <w:color w:val="000000"/>
                <w:sz w:val="20"/>
                <w:lang w:val="fi-FI" w:eastAsia="fi-FI"/>
              </w:rPr>
            </w:pPr>
            <w:proofErr w:type="spellStart"/>
            <w:r>
              <w:rPr>
                <w:rFonts w:cs="Arial"/>
                <w:color w:val="000000"/>
                <w:sz w:val="20"/>
                <w:lang w:val="fi-FI" w:eastAsia="fi-FI"/>
              </w:rPr>
              <w:t>More</w:t>
            </w:r>
            <w:proofErr w:type="spellEnd"/>
            <w:r>
              <w:rPr>
                <w:rFonts w:cs="Arial"/>
                <w:color w:val="000000"/>
                <w:sz w:val="20"/>
                <w:lang w:val="fi-FI" w:eastAsia="fi-FI"/>
              </w:rPr>
              <w:t xml:space="preserve"> </w:t>
            </w:r>
            <w:proofErr w:type="spellStart"/>
            <w:r>
              <w:rPr>
                <w:rFonts w:cs="Arial"/>
                <w:color w:val="000000"/>
                <w:sz w:val="20"/>
                <w:lang w:val="fi-FI" w:eastAsia="fi-FI"/>
              </w:rPr>
              <w:t>than</w:t>
            </w:r>
            <w:proofErr w:type="spellEnd"/>
            <w:r>
              <w:rPr>
                <w:rFonts w:cs="Arial"/>
                <w:color w:val="000000"/>
                <w:sz w:val="20"/>
                <w:lang w:val="fi-FI" w:eastAsia="fi-FI"/>
              </w:rPr>
              <w:t xml:space="preserve"> </w:t>
            </w:r>
            <w:r w:rsidRPr="00080EFB">
              <w:rPr>
                <w:rFonts w:cs="Arial"/>
                <w:color w:val="000000"/>
                <w:sz w:val="20"/>
                <w:lang w:val="fi-FI" w:eastAsia="fi-FI"/>
              </w:rPr>
              <w:t xml:space="preserve">5 </w:t>
            </w:r>
            <w:proofErr w:type="spellStart"/>
            <w:r>
              <w:rPr>
                <w:rFonts w:cs="Arial"/>
                <w:color w:val="000000"/>
                <w:sz w:val="20"/>
                <w:lang w:val="fi-FI" w:eastAsia="fi-FI"/>
              </w:rPr>
              <w:t>years</w:t>
            </w:r>
            <w:proofErr w:type="spellEnd"/>
          </w:p>
        </w:tc>
        <w:tc>
          <w:tcPr>
            <w:tcW w:w="1754" w:type="dxa"/>
            <w:shd w:val="pct20" w:color="000000" w:fill="FFFFFF"/>
            <w:noWrap/>
            <w:vAlign w:val="center"/>
          </w:tcPr>
          <w:p w:rsidR="00C738E6" w:rsidRPr="008325BE" w:rsidRDefault="00C738E6" w:rsidP="00CF3D7D">
            <w:pPr>
              <w:ind w:left="426"/>
              <w:jc w:val="right"/>
              <w:rPr>
                <w:rFonts w:cs="Arial"/>
                <w:color w:val="000000"/>
                <w:sz w:val="20"/>
                <w:szCs w:val="20"/>
                <w:lang w:val="fi-FI" w:eastAsia="fi-FI"/>
              </w:rPr>
            </w:pPr>
            <w:r w:rsidRPr="008325BE">
              <w:rPr>
                <w:rFonts w:cs="Arial"/>
                <w:color w:val="000000"/>
                <w:sz w:val="20"/>
                <w:szCs w:val="20"/>
                <w:lang w:val="fi-FI" w:eastAsia="fi-FI"/>
              </w:rPr>
              <w:t>0</w:t>
            </w:r>
          </w:p>
        </w:tc>
        <w:tc>
          <w:tcPr>
            <w:tcW w:w="1560" w:type="dxa"/>
            <w:shd w:val="pct20" w:color="000000" w:fill="FFFFFF"/>
            <w:noWrap/>
            <w:vAlign w:val="center"/>
          </w:tcPr>
          <w:p w:rsidR="00C738E6" w:rsidRPr="008325BE" w:rsidRDefault="00C738E6" w:rsidP="00CF3D7D">
            <w:pPr>
              <w:ind w:left="426"/>
              <w:jc w:val="right"/>
              <w:rPr>
                <w:rFonts w:cs="Arial"/>
                <w:color w:val="000000"/>
                <w:sz w:val="20"/>
                <w:szCs w:val="20"/>
                <w:lang w:val="fi-FI" w:eastAsia="fi-FI"/>
              </w:rPr>
            </w:pPr>
            <w:r w:rsidRPr="008325BE">
              <w:rPr>
                <w:rFonts w:cs="Arial"/>
                <w:color w:val="000000"/>
                <w:sz w:val="20"/>
                <w:szCs w:val="20"/>
                <w:lang w:val="fi-FI" w:eastAsia="fi-FI"/>
              </w:rPr>
              <w:t>0</w:t>
            </w:r>
          </w:p>
        </w:tc>
        <w:tc>
          <w:tcPr>
            <w:tcW w:w="2498" w:type="dxa"/>
            <w:shd w:val="pct20" w:color="000000" w:fill="FFFFFF"/>
            <w:noWrap/>
            <w:vAlign w:val="center"/>
          </w:tcPr>
          <w:p w:rsidR="00C738E6" w:rsidRPr="008325BE" w:rsidRDefault="00C738E6" w:rsidP="00CF3D7D">
            <w:pPr>
              <w:ind w:left="426"/>
              <w:jc w:val="right"/>
              <w:rPr>
                <w:rFonts w:cs="Arial"/>
                <w:color w:val="000000"/>
                <w:sz w:val="20"/>
                <w:szCs w:val="20"/>
                <w:lang w:val="fi-FI" w:eastAsia="fi-FI"/>
              </w:rPr>
            </w:pPr>
            <w:r w:rsidRPr="008325BE">
              <w:rPr>
                <w:rFonts w:cs="Arial"/>
                <w:color w:val="000000"/>
                <w:sz w:val="20"/>
                <w:szCs w:val="20"/>
                <w:lang w:val="fi-FI" w:eastAsia="fi-FI"/>
              </w:rPr>
              <w:t>0</w:t>
            </w:r>
          </w:p>
        </w:tc>
      </w:tr>
      <w:tr w:rsidR="00C738E6" w:rsidRPr="00080EFB" w:rsidTr="004D011F">
        <w:trPr>
          <w:trHeight w:val="315"/>
        </w:trPr>
        <w:tc>
          <w:tcPr>
            <w:tcW w:w="2410" w:type="dxa"/>
            <w:shd w:val="pct5" w:color="000000" w:fill="FFFFFF"/>
            <w:noWrap/>
            <w:vAlign w:val="center"/>
            <w:hideMark/>
          </w:tcPr>
          <w:p w:rsidR="00C738E6" w:rsidRPr="00080EFB" w:rsidRDefault="00C738E6" w:rsidP="00263206">
            <w:pPr>
              <w:ind w:left="426"/>
              <w:rPr>
                <w:rFonts w:cs="Arial"/>
                <w:color w:val="000000"/>
                <w:sz w:val="20"/>
                <w:lang w:val="fi-FI" w:eastAsia="fi-FI"/>
              </w:rPr>
            </w:pPr>
          </w:p>
        </w:tc>
        <w:tc>
          <w:tcPr>
            <w:tcW w:w="1754" w:type="dxa"/>
            <w:shd w:val="pct5" w:color="000000" w:fill="FFFFFF"/>
            <w:noWrap/>
            <w:vAlign w:val="bottom"/>
          </w:tcPr>
          <w:p w:rsidR="00C738E6" w:rsidRPr="008325BE" w:rsidRDefault="00C738E6" w:rsidP="00CF3D7D">
            <w:pPr>
              <w:jc w:val="right"/>
              <w:rPr>
                <w:rFonts w:cs="Arial"/>
                <w:b/>
                <w:bCs/>
                <w:sz w:val="20"/>
                <w:szCs w:val="20"/>
                <w:lang w:val="fi-FI" w:eastAsia="fi-FI"/>
              </w:rPr>
            </w:pPr>
            <w:proofErr w:type="gramStart"/>
            <w:r w:rsidRPr="008325BE">
              <w:rPr>
                <w:rFonts w:cs="Arial"/>
                <w:b/>
                <w:bCs/>
                <w:sz w:val="20"/>
                <w:szCs w:val="20"/>
                <w:lang w:val="fi-FI" w:eastAsia="fi-FI"/>
              </w:rPr>
              <w:t>-</w:t>
            </w:r>
            <w:proofErr w:type="gramEnd"/>
            <w:r>
              <w:rPr>
                <w:rFonts w:cs="Arial"/>
                <w:b/>
                <w:bCs/>
                <w:sz w:val="20"/>
                <w:szCs w:val="20"/>
                <w:lang w:val="fi-FI" w:eastAsia="fi-FI"/>
              </w:rPr>
              <w:t>7,</w:t>
            </w:r>
            <w:r w:rsidRPr="008325BE">
              <w:rPr>
                <w:rFonts w:cs="Arial"/>
                <w:b/>
                <w:bCs/>
                <w:sz w:val="20"/>
                <w:szCs w:val="20"/>
                <w:lang w:val="fi-FI" w:eastAsia="fi-FI"/>
              </w:rPr>
              <w:t>352</w:t>
            </w:r>
          </w:p>
        </w:tc>
        <w:tc>
          <w:tcPr>
            <w:tcW w:w="1560" w:type="dxa"/>
            <w:shd w:val="pct5" w:color="000000" w:fill="FFFFFF"/>
            <w:noWrap/>
            <w:vAlign w:val="bottom"/>
          </w:tcPr>
          <w:p w:rsidR="00C738E6" w:rsidRPr="008325BE" w:rsidRDefault="00C738E6" w:rsidP="00CF3D7D">
            <w:pPr>
              <w:jc w:val="right"/>
              <w:rPr>
                <w:rFonts w:cs="Arial"/>
                <w:b/>
                <w:bCs/>
                <w:sz w:val="20"/>
                <w:szCs w:val="20"/>
                <w:lang w:val="fi-FI" w:eastAsia="fi-FI"/>
              </w:rPr>
            </w:pPr>
            <w:proofErr w:type="gramStart"/>
            <w:r w:rsidRPr="008325BE">
              <w:rPr>
                <w:rFonts w:cs="Arial"/>
                <w:b/>
                <w:bCs/>
                <w:sz w:val="20"/>
                <w:szCs w:val="20"/>
                <w:lang w:val="fi-FI" w:eastAsia="fi-FI"/>
              </w:rPr>
              <w:t>-</w:t>
            </w:r>
            <w:proofErr w:type="gramEnd"/>
            <w:r w:rsidRPr="008325BE">
              <w:rPr>
                <w:rFonts w:cs="Arial"/>
                <w:b/>
                <w:bCs/>
                <w:sz w:val="20"/>
                <w:szCs w:val="20"/>
                <w:lang w:val="fi-FI" w:eastAsia="fi-FI"/>
              </w:rPr>
              <w:t>339</w:t>
            </w:r>
          </w:p>
        </w:tc>
        <w:tc>
          <w:tcPr>
            <w:tcW w:w="2498" w:type="dxa"/>
            <w:shd w:val="pct5" w:color="000000" w:fill="FFFFFF"/>
            <w:noWrap/>
            <w:vAlign w:val="bottom"/>
          </w:tcPr>
          <w:p w:rsidR="00C738E6" w:rsidRPr="008325BE" w:rsidRDefault="00C738E6" w:rsidP="00CF3D7D">
            <w:pPr>
              <w:jc w:val="right"/>
              <w:rPr>
                <w:rFonts w:cs="Arial"/>
                <w:b/>
                <w:bCs/>
                <w:sz w:val="20"/>
                <w:szCs w:val="20"/>
                <w:lang w:val="fi-FI" w:eastAsia="fi-FI"/>
              </w:rPr>
            </w:pPr>
            <w:proofErr w:type="gramStart"/>
            <w:r w:rsidRPr="008325BE">
              <w:rPr>
                <w:rFonts w:cs="Arial"/>
                <w:b/>
                <w:bCs/>
                <w:sz w:val="20"/>
                <w:szCs w:val="20"/>
                <w:lang w:val="fi-FI" w:eastAsia="fi-FI"/>
              </w:rPr>
              <w:t>-</w:t>
            </w:r>
            <w:proofErr w:type="gramEnd"/>
            <w:r>
              <w:rPr>
                <w:rFonts w:cs="Arial"/>
                <w:b/>
                <w:bCs/>
                <w:sz w:val="20"/>
                <w:szCs w:val="20"/>
                <w:lang w:val="fi-FI" w:eastAsia="fi-FI"/>
              </w:rPr>
              <w:t>7,</w:t>
            </w:r>
            <w:r w:rsidRPr="008325BE">
              <w:rPr>
                <w:rFonts w:cs="Arial"/>
                <w:b/>
                <w:bCs/>
                <w:sz w:val="20"/>
                <w:szCs w:val="20"/>
                <w:lang w:val="fi-FI" w:eastAsia="fi-FI"/>
              </w:rPr>
              <w:t>691</w:t>
            </w:r>
          </w:p>
        </w:tc>
      </w:tr>
    </w:tbl>
    <w:p w:rsidR="00BC5E04" w:rsidRPr="008951BF" w:rsidRDefault="00BC5E04" w:rsidP="0065535F">
      <w:pPr>
        <w:ind w:left="709"/>
        <w:rPr>
          <w:rFonts w:cs="Arial"/>
        </w:rPr>
      </w:pPr>
    </w:p>
    <w:p w:rsidR="0062370E" w:rsidRPr="008951BF" w:rsidRDefault="0062370E" w:rsidP="0065535F">
      <w:pPr>
        <w:ind w:left="709"/>
        <w:rPr>
          <w:rFonts w:cs="Arial"/>
        </w:rPr>
      </w:pPr>
    </w:p>
    <w:p w:rsidR="0062370E" w:rsidRPr="00854306" w:rsidRDefault="0062370E" w:rsidP="0065535F">
      <w:pPr>
        <w:ind w:left="709"/>
        <w:rPr>
          <w:rFonts w:cs="Arial"/>
          <w:lang w:val="en-US"/>
        </w:rPr>
      </w:pPr>
      <w:r w:rsidRPr="00854306">
        <w:rPr>
          <w:rFonts w:cs="Arial"/>
          <w:lang w:val="en-US"/>
        </w:rPr>
        <w:t>The Group’s quick ratio was 0.</w:t>
      </w:r>
      <w:r w:rsidR="00C738E6">
        <w:rPr>
          <w:rFonts w:cs="Arial"/>
          <w:lang w:val="en-US"/>
        </w:rPr>
        <w:t>7</w:t>
      </w:r>
      <w:r w:rsidRPr="00854306">
        <w:rPr>
          <w:rFonts w:cs="Arial"/>
          <w:lang w:val="en-US"/>
        </w:rPr>
        <w:t xml:space="preserve"> (0.</w:t>
      </w:r>
      <w:r w:rsidR="00C738E6">
        <w:rPr>
          <w:rFonts w:cs="Arial"/>
          <w:lang w:val="en-US"/>
        </w:rPr>
        <w:t>5</w:t>
      </w:r>
      <w:r w:rsidRPr="00854306">
        <w:rPr>
          <w:rFonts w:cs="Arial"/>
          <w:lang w:val="en-US"/>
        </w:rPr>
        <w:t xml:space="preserve">), and the current ratio was </w:t>
      </w:r>
      <w:r w:rsidR="00C738E6">
        <w:rPr>
          <w:rFonts w:cs="Arial"/>
          <w:lang w:val="en-US"/>
        </w:rPr>
        <w:t>1.0</w:t>
      </w:r>
      <w:r w:rsidRPr="00854306">
        <w:rPr>
          <w:rFonts w:cs="Arial"/>
          <w:lang w:val="en-US"/>
        </w:rPr>
        <w:t xml:space="preserve"> (0.</w:t>
      </w:r>
      <w:r w:rsidR="00BC5E04" w:rsidRPr="00854306">
        <w:rPr>
          <w:rFonts w:cs="Arial"/>
          <w:lang w:val="en-US"/>
        </w:rPr>
        <w:t>9</w:t>
      </w:r>
      <w:r w:rsidRPr="00854306">
        <w:rPr>
          <w:rFonts w:cs="Arial"/>
          <w:lang w:val="en-US"/>
        </w:rPr>
        <w:t xml:space="preserve">). </w:t>
      </w:r>
    </w:p>
    <w:p w:rsidR="0062370E" w:rsidRPr="00854306" w:rsidRDefault="0062370E" w:rsidP="0065535F">
      <w:pPr>
        <w:ind w:left="709"/>
        <w:rPr>
          <w:rFonts w:cs="Arial"/>
          <w:lang w:val="en-US"/>
        </w:rPr>
      </w:pPr>
    </w:p>
    <w:p w:rsidR="0062370E" w:rsidRDefault="0062370E" w:rsidP="0065535F">
      <w:pPr>
        <w:ind w:left="709"/>
        <w:rPr>
          <w:rFonts w:cs="Arial"/>
        </w:rPr>
      </w:pPr>
      <w:r w:rsidRPr="008951BF">
        <w:rPr>
          <w:rFonts w:cs="Arial"/>
        </w:rPr>
        <w:t xml:space="preserve">Cash flow from operations was EUR </w:t>
      </w:r>
      <w:r w:rsidR="00C738E6">
        <w:rPr>
          <w:rFonts w:cs="Arial"/>
        </w:rPr>
        <w:t>1.4</w:t>
      </w:r>
      <w:r w:rsidRPr="008951BF">
        <w:rPr>
          <w:rFonts w:cs="Arial"/>
        </w:rPr>
        <w:t xml:space="preserve"> million (EUR </w:t>
      </w:r>
      <w:r w:rsidR="00BC5E04" w:rsidRPr="008951BF">
        <w:rPr>
          <w:rFonts w:cs="Arial"/>
        </w:rPr>
        <w:t>0</w:t>
      </w:r>
      <w:r w:rsidRPr="008951BF">
        <w:rPr>
          <w:rFonts w:cs="Arial"/>
        </w:rPr>
        <w:t>.</w:t>
      </w:r>
      <w:r w:rsidR="00C738E6">
        <w:rPr>
          <w:rFonts w:cs="Arial"/>
        </w:rPr>
        <w:t>02</w:t>
      </w:r>
      <w:r w:rsidRPr="008951BF">
        <w:rPr>
          <w:rFonts w:cs="Arial"/>
        </w:rPr>
        <w:t xml:space="preserve"> million). On </w:t>
      </w:r>
      <w:r w:rsidR="00C738E6">
        <w:rPr>
          <w:rFonts w:cs="Arial"/>
        </w:rPr>
        <w:t>30 June 2015</w:t>
      </w:r>
      <w:r w:rsidRPr="008951BF">
        <w:rPr>
          <w:rFonts w:cs="Arial"/>
        </w:rPr>
        <w:t xml:space="preserve">, the Group’s cash and cash equivalents totalled EUR </w:t>
      </w:r>
      <w:r w:rsidR="00C738E6">
        <w:rPr>
          <w:rFonts w:cs="Arial"/>
        </w:rPr>
        <w:t>2.7</w:t>
      </w:r>
      <w:r w:rsidRPr="008951BF">
        <w:rPr>
          <w:rFonts w:cs="Arial"/>
        </w:rPr>
        <w:t xml:space="preserve"> million (EUR </w:t>
      </w:r>
      <w:r w:rsidR="00BC5E04" w:rsidRPr="008951BF">
        <w:rPr>
          <w:rFonts w:cs="Arial"/>
        </w:rPr>
        <w:t>1.</w:t>
      </w:r>
      <w:r w:rsidR="00C738E6">
        <w:rPr>
          <w:rFonts w:cs="Arial"/>
        </w:rPr>
        <w:t>0</w:t>
      </w:r>
      <w:r w:rsidRPr="008951BF">
        <w:rPr>
          <w:rFonts w:cs="Arial"/>
        </w:rPr>
        <w:t xml:space="preserve"> million). The change in cash and cash equivalents showed an increase of EUR 0.</w:t>
      </w:r>
      <w:r w:rsidR="00C738E6">
        <w:rPr>
          <w:rFonts w:cs="Arial"/>
        </w:rPr>
        <w:t>7 million (a de</w:t>
      </w:r>
      <w:r w:rsidRPr="008951BF">
        <w:rPr>
          <w:rFonts w:cs="Arial"/>
        </w:rPr>
        <w:t xml:space="preserve">crease of EUR </w:t>
      </w:r>
      <w:r w:rsidR="00BC5E04" w:rsidRPr="008951BF">
        <w:rPr>
          <w:rFonts w:cs="Arial"/>
        </w:rPr>
        <w:t>0.</w:t>
      </w:r>
      <w:r w:rsidR="00C738E6">
        <w:rPr>
          <w:rFonts w:cs="Arial"/>
        </w:rPr>
        <w:t>5</w:t>
      </w:r>
      <w:r w:rsidRPr="008951BF">
        <w:rPr>
          <w:rFonts w:cs="Arial"/>
        </w:rPr>
        <w:t xml:space="preserve"> million). </w:t>
      </w:r>
    </w:p>
    <w:p w:rsidR="00370C2F" w:rsidRDefault="00370C2F" w:rsidP="0065535F">
      <w:pPr>
        <w:ind w:left="709"/>
        <w:rPr>
          <w:rFonts w:cs="Arial"/>
        </w:rPr>
      </w:pPr>
    </w:p>
    <w:p w:rsidR="00370C2F" w:rsidRDefault="00370C2F" w:rsidP="0065535F">
      <w:pPr>
        <w:ind w:left="709"/>
        <w:rPr>
          <w:rFonts w:cs="Arial"/>
        </w:rPr>
      </w:pPr>
      <w:r w:rsidRPr="00370C2F">
        <w:rPr>
          <w:rFonts w:cs="Arial"/>
        </w:rPr>
        <w:t xml:space="preserve">Aspects related to the Group's financing and liquidity are also described in the section "Short-term risks and factors of </w:t>
      </w:r>
      <w:proofErr w:type="gramStart"/>
      <w:r w:rsidRPr="00370C2F">
        <w:rPr>
          <w:rFonts w:cs="Arial"/>
        </w:rPr>
        <w:t>uncertainty concerning</w:t>
      </w:r>
      <w:proofErr w:type="gramEnd"/>
      <w:r w:rsidRPr="00370C2F">
        <w:rPr>
          <w:rFonts w:cs="Arial"/>
        </w:rPr>
        <w:t xml:space="preserve"> operations".</w:t>
      </w:r>
    </w:p>
    <w:p w:rsidR="00854306" w:rsidRDefault="00854306" w:rsidP="0065535F">
      <w:pPr>
        <w:ind w:left="709"/>
        <w:rPr>
          <w:rFonts w:cs="Arial"/>
        </w:rPr>
      </w:pPr>
    </w:p>
    <w:p w:rsidR="0062370E" w:rsidRPr="008951BF" w:rsidRDefault="0062370E" w:rsidP="0065535F">
      <w:pPr>
        <w:ind w:left="709"/>
        <w:rPr>
          <w:rFonts w:cs="Arial"/>
          <w:b/>
        </w:rPr>
      </w:pPr>
      <w:r w:rsidRPr="00B62B8D">
        <w:rPr>
          <w:rFonts w:cs="Arial"/>
          <w:b/>
        </w:rPr>
        <w:t>Personnel</w:t>
      </w:r>
      <w:r w:rsidRPr="008951BF">
        <w:rPr>
          <w:rFonts w:cs="Arial"/>
          <w:b/>
        </w:rPr>
        <w:t xml:space="preserve">  </w:t>
      </w:r>
    </w:p>
    <w:p w:rsidR="00C738E6" w:rsidRPr="008951BF" w:rsidRDefault="00BC5E04" w:rsidP="00C738E6">
      <w:pPr>
        <w:ind w:left="709"/>
        <w:rPr>
          <w:rFonts w:cs="Arial"/>
        </w:rPr>
      </w:pPr>
      <w:r w:rsidRPr="008951BF">
        <w:rPr>
          <w:rFonts w:cs="Arial"/>
        </w:rPr>
        <w:t xml:space="preserve">At the end of </w:t>
      </w:r>
      <w:r w:rsidR="00C738E6">
        <w:rPr>
          <w:rFonts w:cs="Arial"/>
        </w:rPr>
        <w:t>the reporting period</w:t>
      </w:r>
      <w:r w:rsidR="0062370E" w:rsidRPr="008951BF">
        <w:rPr>
          <w:rFonts w:cs="Arial"/>
        </w:rPr>
        <w:t xml:space="preserve">, </w:t>
      </w:r>
      <w:proofErr w:type="spellStart"/>
      <w:r w:rsidR="0062370E" w:rsidRPr="008951BF">
        <w:rPr>
          <w:rFonts w:cs="Arial"/>
        </w:rPr>
        <w:t>Incap</w:t>
      </w:r>
      <w:proofErr w:type="spellEnd"/>
      <w:r w:rsidR="0062370E" w:rsidRPr="008951BF">
        <w:rPr>
          <w:rFonts w:cs="Arial"/>
        </w:rPr>
        <w:t xml:space="preserve"> Group had a payroll of </w:t>
      </w:r>
      <w:r w:rsidR="00C738E6">
        <w:rPr>
          <w:rFonts w:cs="Arial"/>
        </w:rPr>
        <w:t>3</w:t>
      </w:r>
      <w:r w:rsidR="00B62B8D">
        <w:rPr>
          <w:rFonts w:cs="Arial"/>
        </w:rPr>
        <w:t>97</w:t>
      </w:r>
      <w:r w:rsidR="0062370E" w:rsidRPr="008951BF">
        <w:rPr>
          <w:rFonts w:cs="Arial"/>
        </w:rPr>
        <w:t xml:space="preserve"> employees (</w:t>
      </w:r>
      <w:r w:rsidRPr="008951BF">
        <w:rPr>
          <w:rFonts w:cs="Arial"/>
        </w:rPr>
        <w:t>4</w:t>
      </w:r>
      <w:r w:rsidR="00C738E6">
        <w:rPr>
          <w:rFonts w:cs="Arial"/>
        </w:rPr>
        <w:t>51</w:t>
      </w:r>
      <w:r w:rsidR="0062370E" w:rsidRPr="008951BF">
        <w:rPr>
          <w:rFonts w:cs="Arial"/>
        </w:rPr>
        <w:t xml:space="preserve">). </w:t>
      </w:r>
      <w:r w:rsidR="00AE401D" w:rsidRPr="00DA7025">
        <w:rPr>
          <w:rFonts w:cs="Arial"/>
        </w:rPr>
        <w:t>8</w:t>
      </w:r>
      <w:r w:rsidR="00B62B8D">
        <w:rPr>
          <w:rFonts w:cs="Arial"/>
        </w:rPr>
        <w:t>6</w:t>
      </w:r>
      <w:r w:rsidR="0062370E" w:rsidRPr="00DA7025">
        <w:rPr>
          <w:rFonts w:cs="Arial"/>
        </w:rPr>
        <w:t>%</w:t>
      </w:r>
      <w:r w:rsidR="0062370E" w:rsidRPr="008951BF">
        <w:rPr>
          <w:rFonts w:cs="Arial"/>
        </w:rPr>
        <w:t xml:space="preserve"> (</w:t>
      </w:r>
      <w:r w:rsidR="00C738E6">
        <w:rPr>
          <w:rFonts w:cs="Arial"/>
        </w:rPr>
        <w:t>72</w:t>
      </w:r>
      <w:r w:rsidR="0062370E" w:rsidRPr="008951BF">
        <w:rPr>
          <w:rFonts w:cs="Arial"/>
        </w:rPr>
        <w:t xml:space="preserve">%) of the personnel worked in India, </w:t>
      </w:r>
      <w:r w:rsidR="00B62B8D">
        <w:rPr>
          <w:rFonts w:cs="Arial"/>
        </w:rPr>
        <w:t>13</w:t>
      </w:r>
      <w:r w:rsidR="0062370E" w:rsidRPr="008951BF">
        <w:rPr>
          <w:rFonts w:cs="Arial"/>
        </w:rPr>
        <w:t>% (</w:t>
      </w:r>
      <w:r w:rsidRPr="008951BF">
        <w:rPr>
          <w:rFonts w:cs="Arial"/>
        </w:rPr>
        <w:t>1</w:t>
      </w:r>
      <w:r w:rsidR="00C738E6">
        <w:rPr>
          <w:rFonts w:cs="Arial"/>
        </w:rPr>
        <w:t>1</w:t>
      </w:r>
      <w:r w:rsidR="0062370E" w:rsidRPr="008951BF">
        <w:rPr>
          <w:rFonts w:cs="Arial"/>
        </w:rPr>
        <w:t xml:space="preserve">%) in Estonia and </w:t>
      </w:r>
      <w:r w:rsidR="00B62B8D">
        <w:rPr>
          <w:rFonts w:cs="Arial"/>
        </w:rPr>
        <w:t>1</w:t>
      </w:r>
      <w:r w:rsidR="0062370E" w:rsidRPr="008951BF">
        <w:rPr>
          <w:rFonts w:cs="Arial"/>
        </w:rPr>
        <w:t>% (1</w:t>
      </w:r>
      <w:r w:rsidR="00C738E6">
        <w:rPr>
          <w:rFonts w:cs="Arial"/>
        </w:rPr>
        <w:t>6</w:t>
      </w:r>
      <w:r w:rsidR="0062370E" w:rsidRPr="008951BF">
        <w:rPr>
          <w:rFonts w:cs="Arial"/>
        </w:rPr>
        <w:t xml:space="preserve">%) in Finland. </w:t>
      </w:r>
    </w:p>
    <w:p w:rsidR="00C738E6" w:rsidRDefault="00C738E6" w:rsidP="0065535F">
      <w:pPr>
        <w:ind w:left="709"/>
        <w:rPr>
          <w:rFonts w:cs="Arial"/>
          <w:b/>
        </w:rPr>
      </w:pPr>
    </w:p>
    <w:p w:rsidR="00F40F75" w:rsidRPr="00F40F75" w:rsidRDefault="00F40F75" w:rsidP="00F40F75">
      <w:pPr>
        <w:ind w:left="709"/>
        <w:rPr>
          <w:rFonts w:cs="Arial"/>
          <w:b/>
        </w:rPr>
      </w:pPr>
      <w:r w:rsidRPr="00F40F75">
        <w:rPr>
          <w:rFonts w:cs="Arial"/>
          <w:b/>
        </w:rPr>
        <w:t xml:space="preserve">Inission AB’s public tender offer on </w:t>
      </w:r>
      <w:proofErr w:type="spellStart"/>
      <w:r w:rsidRPr="00F40F75">
        <w:rPr>
          <w:rFonts w:cs="Arial"/>
          <w:b/>
        </w:rPr>
        <w:t>Incap</w:t>
      </w:r>
      <w:proofErr w:type="spellEnd"/>
      <w:r w:rsidRPr="00F40F75">
        <w:rPr>
          <w:rFonts w:cs="Arial"/>
          <w:b/>
        </w:rPr>
        <w:t xml:space="preserve"> shares</w:t>
      </w:r>
    </w:p>
    <w:p w:rsidR="00F40F75" w:rsidRPr="00F40F75" w:rsidRDefault="00F40F75" w:rsidP="00F40F75">
      <w:pPr>
        <w:ind w:left="709"/>
        <w:rPr>
          <w:rFonts w:cs="Arial"/>
        </w:rPr>
      </w:pPr>
      <w:r w:rsidRPr="00F40F75">
        <w:rPr>
          <w:rFonts w:cs="Arial"/>
        </w:rPr>
        <w:t xml:space="preserve">Inission AB’s holdings in </w:t>
      </w:r>
      <w:proofErr w:type="spellStart"/>
      <w:r w:rsidRPr="00F40F75">
        <w:rPr>
          <w:rFonts w:cs="Arial"/>
        </w:rPr>
        <w:t>Incap</w:t>
      </w:r>
      <w:proofErr w:type="spellEnd"/>
      <w:r w:rsidRPr="00F40F75">
        <w:rPr>
          <w:rFonts w:cs="Arial"/>
        </w:rPr>
        <w:t xml:space="preserve"> increased in December 2014 to approximately 30.27% of all </w:t>
      </w:r>
      <w:proofErr w:type="spellStart"/>
      <w:r w:rsidRPr="00F40F75">
        <w:rPr>
          <w:rFonts w:cs="Arial"/>
        </w:rPr>
        <w:t>Incap</w:t>
      </w:r>
      <w:proofErr w:type="spellEnd"/>
      <w:r w:rsidRPr="00F40F75">
        <w:rPr>
          <w:rFonts w:cs="Arial"/>
        </w:rPr>
        <w:t xml:space="preserve"> shares and votes, and thereby Inission became obliged to make a mandatory public tender offer for all other </w:t>
      </w:r>
      <w:proofErr w:type="spellStart"/>
      <w:r w:rsidRPr="00F40F75">
        <w:rPr>
          <w:rFonts w:cs="Arial"/>
        </w:rPr>
        <w:t>Incap</w:t>
      </w:r>
      <w:proofErr w:type="spellEnd"/>
      <w:r w:rsidRPr="00F40F75">
        <w:rPr>
          <w:rFonts w:cs="Arial"/>
        </w:rPr>
        <w:t xml:space="preserve"> shares and securities entitling to shares in line with the Securities Market Act, Chapter 11, </w:t>
      </w:r>
      <w:proofErr w:type="gramStart"/>
      <w:r w:rsidRPr="00F40F75">
        <w:rPr>
          <w:rFonts w:cs="Arial"/>
        </w:rPr>
        <w:t>Section</w:t>
      </w:r>
      <w:proofErr w:type="gramEnd"/>
      <w:r w:rsidRPr="00F40F75">
        <w:rPr>
          <w:rFonts w:cs="Arial"/>
        </w:rPr>
        <w:t xml:space="preserve"> 19. Inission published on 23 December 2014 a release concerning its mandatory public tender offer. The price offered in the tender offer was EUR 0.03 in cash for each </w:t>
      </w:r>
      <w:proofErr w:type="spellStart"/>
      <w:r w:rsidRPr="00F40F75">
        <w:rPr>
          <w:rFonts w:cs="Arial"/>
        </w:rPr>
        <w:t>Incap</w:t>
      </w:r>
      <w:proofErr w:type="spellEnd"/>
      <w:r w:rsidRPr="00F40F75">
        <w:rPr>
          <w:rFonts w:cs="Arial"/>
        </w:rPr>
        <w:t xml:space="preserve"> share. The acceptance period of the tender offer was from 7 to 30 January 2015. On 16 January 2015 the Board of Directors of </w:t>
      </w:r>
      <w:proofErr w:type="spellStart"/>
      <w:r w:rsidRPr="00F40F75">
        <w:rPr>
          <w:rFonts w:cs="Arial"/>
        </w:rPr>
        <w:t>Incap</w:t>
      </w:r>
      <w:proofErr w:type="spellEnd"/>
      <w:r w:rsidRPr="00F40F75">
        <w:rPr>
          <w:rFonts w:cs="Arial"/>
        </w:rPr>
        <w:t xml:space="preserve"> announced in their statement that they considered the price offered in the tender offer too low and the members of the Board of Directors who participated in the decision-making recommended unanimously the refusal of the tender offer.</w:t>
      </w:r>
    </w:p>
    <w:p w:rsidR="00F40F75" w:rsidRPr="00F40F75" w:rsidRDefault="00F40F75" w:rsidP="00F40F75">
      <w:pPr>
        <w:ind w:left="709"/>
        <w:rPr>
          <w:rFonts w:cs="Arial"/>
        </w:rPr>
      </w:pPr>
    </w:p>
    <w:p w:rsidR="00F40F75" w:rsidRPr="00F40F75" w:rsidRDefault="00F40F75" w:rsidP="00F40F75">
      <w:pPr>
        <w:ind w:left="709"/>
        <w:rPr>
          <w:rFonts w:cs="Arial"/>
        </w:rPr>
      </w:pPr>
      <w:r w:rsidRPr="00F40F75">
        <w:rPr>
          <w:rFonts w:cs="Arial"/>
        </w:rPr>
        <w:t xml:space="preserve">Inission AB informed in February 2015 that based on the trades in the tender offer its holding had increased by 3.54%. Because Inission had further acquired 7,684,615 shares through direct trades, </w:t>
      </w:r>
      <w:proofErr w:type="spellStart"/>
      <w:r w:rsidRPr="00F40F75">
        <w:rPr>
          <w:rFonts w:cs="Arial"/>
        </w:rPr>
        <w:t>Inission’s</w:t>
      </w:r>
      <w:proofErr w:type="spellEnd"/>
      <w:r w:rsidRPr="00F40F75">
        <w:rPr>
          <w:rFonts w:cs="Arial"/>
        </w:rPr>
        <w:t xml:space="preserve"> holdings were increased to approximately 40.85% of all shares and votes of </w:t>
      </w:r>
      <w:proofErr w:type="spellStart"/>
      <w:r w:rsidRPr="00F40F75">
        <w:rPr>
          <w:rFonts w:cs="Arial"/>
        </w:rPr>
        <w:t>Incap</w:t>
      </w:r>
      <w:proofErr w:type="spellEnd"/>
      <w:r w:rsidRPr="00F40F75">
        <w:rPr>
          <w:rFonts w:cs="Arial"/>
        </w:rPr>
        <w:t>, i.e. to a total of 44,573,010 shares.</w:t>
      </w:r>
    </w:p>
    <w:p w:rsidR="00F40F75" w:rsidRPr="00F40F75" w:rsidRDefault="00F40F75" w:rsidP="00F40F75">
      <w:pPr>
        <w:ind w:left="709"/>
        <w:rPr>
          <w:rFonts w:cs="Arial"/>
          <w:b/>
        </w:rPr>
      </w:pPr>
    </w:p>
    <w:p w:rsidR="00F40F75" w:rsidRPr="00F40F75" w:rsidRDefault="00F40F75" w:rsidP="00F40F75">
      <w:pPr>
        <w:ind w:left="709"/>
        <w:rPr>
          <w:rFonts w:cs="Arial"/>
          <w:b/>
        </w:rPr>
      </w:pPr>
      <w:r w:rsidRPr="00F40F75">
        <w:rPr>
          <w:rFonts w:cs="Arial"/>
          <w:b/>
        </w:rPr>
        <w:t>Rights issue</w:t>
      </w:r>
    </w:p>
    <w:p w:rsidR="00F40F75" w:rsidRPr="00F40F75" w:rsidRDefault="00F40F75" w:rsidP="00F40F75">
      <w:pPr>
        <w:ind w:left="709"/>
        <w:rPr>
          <w:rFonts w:cs="Arial"/>
        </w:rPr>
      </w:pPr>
      <w:r w:rsidRPr="00F40F75">
        <w:rPr>
          <w:rFonts w:cs="Arial"/>
        </w:rPr>
        <w:t xml:space="preserve">The Board of Directors of </w:t>
      </w:r>
      <w:proofErr w:type="spellStart"/>
      <w:r w:rsidRPr="00F40F75">
        <w:rPr>
          <w:rFonts w:cs="Arial"/>
        </w:rPr>
        <w:t>Incap</w:t>
      </w:r>
      <w:proofErr w:type="spellEnd"/>
      <w:r w:rsidRPr="00F40F75">
        <w:rPr>
          <w:rFonts w:cs="Arial"/>
        </w:rPr>
        <w:t xml:space="preserve"> Corporation resolved on 25 May 2015, based on the authorization granted to it by the Company's Extraordinary General Meeting on 7 May 2015, on the share issue against payment in which the company offered to its shareholders 109,114,035 new shares for subscription. The subscription period started on 1 June 2015 and ended on 22 June 2015.</w:t>
      </w:r>
    </w:p>
    <w:p w:rsidR="00F40F75" w:rsidRPr="00F40F75" w:rsidRDefault="00F40F75" w:rsidP="00F40F75">
      <w:pPr>
        <w:ind w:left="709"/>
        <w:rPr>
          <w:rFonts w:cs="Arial"/>
        </w:rPr>
      </w:pPr>
    </w:p>
    <w:p w:rsidR="00F40F75" w:rsidRPr="00F40F75" w:rsidRDefault="00F40F75" w:rsidP="00F40F75">
      <w:pPr>
        <w:ind w:left="709"/>
        <w:rPr>
          <w:rFonts w:cs="Arial"/>
        </w:rPr>
      </w:pPr>
      <w:r w:rsidRPr="00F40F75">
        <w:rPr>
          <w:rFonts w:cs="Arial"/>
        </w:rPr>
        <w:t xml:space="preserve">Altogether 106,585,585 new shares were subscribed by the preferred subscription rights and 52,850,453 new shares by the secondary subscription rights i.e. approximately 146% of all the new shares offered. The Board of Directors accepted 106,585,585 new shares </w:t>
      </w:r>
      <w:r w:rsidRPr="00F40F75">
        <w:rPr>
          <w:rFonts w:cs="Arial"/>
        </w:rPr>
        <w:lastRenderedPageBreak/>
        <w:t>by the prefe</w:t>
      </w:r>
      <w:r w:rsidR="00CA1D67">
        <w:rPr>
          <w:rFonts w:cs="Arial"/>
        </w:rPr>
        <w:t xml:space="preserve">rred subscription rights and </w:t>
      </w:r>
      <w:r w:rsidR="00C31C99">
        <w:rPr>
          <w:rFonts w:cs="Arial"/>
        </w:rPr>
        <w:t>2,</w:t>
      </w:r>
      <w:r w:rsidRPr="00F40F75">
        <w:rPr>
          <w:rFonts w:cs="Arial"/>
        </w:rPr>
        <w:t xml:space="preserve">528,450 new shares by the secondary subscription rights i.e. altogether 100% of all the new shares offered. </w:t>
      </w:r>
    </w:p>
    <w:p w:rsidR="00F40F75" w:rsidRPr="00F40F75" w:rsidRDefault="00F40F75" w:rsidP="00F40F75">
      <w:pPr>
        <w:ind w:left="709"/>
        <w:rPr>
          <w:rFonts w:cs="Arial"/>
        </w:rPr>
      </w:pPr>
    </w:p>
    <w:p w:rsidR="00F40F75" w:rsidRPr="00F40F75" w:rsidRDefault="00F40F75" w:rsidP="00F40F75">
      <w:pPr>
        <w:ind w:left="709"/>
        <w:rPr>
          <w:rFonts w:cs="Arial"/>
        </w:rPr>
      </w:pPr>
      <w:r w:rsidRPr="00F40F75">
        <w:rPr>
          <w:rFonts w:cs="Arial"/>
        </w:rPr>
        <w:t xml:space="preserve">Inission AB, </w:t>
      </w:r>
      <w:proofErr w:type="spellStart"/>
      <w:r w:rsidRPr="00F40F75">
        <w:rPr>
          <w:rFonts w:cs="Arial"/>
        </w:rPr>
        <w:t>Oy</w:t>
      </w:r>
      <w:proofErr w:type="spellEnd"/>
      <w:r w:rsidRPr="00F40F75">
        <w:rPr>
          <w:rFonts w:cs="Arial"/>
        </w:rPr>
        <w:t xml:space="preserve"> </w:t>
      </w:r>
      <w:proofErr w:type="spellStart"/>
      <w:r w:rsidRPr="00F40F75">
        <w:rPr>
          <w:rFonts w:cs="Arial"/>
        </w:rPr>
        <w:t>Etra</w:t>
      </w:r>
      <w:proofErr w:type="spellEnd"/>
      <w:r w:rsidRPr="00F40F75">
        <w:rPr>
          <w:rFonts w:cs="Arial"/>
        </w:rPr>
        <w:t xml:space="preserve"> Invest Ab and </w:t>
      </w:r>
      <w:proofErr w:type="spellStart"/>
      <w:r w:rsidRPr="00F40F75">
        <w:rPr>
          <w:rFonts w:cs="Arial"/>
        </w:rPr>
        <w:t>Ilmarinen</w:t>
      </w:r>
      <w:proofErr w:type="spellEnd"/>
      <w:r w:rsidRPr="00F40F75">
        <w:rPr>
          <w:rFonts w:cs="Arial"/>
        </w:rPr>
        <w:t xml:space="preserve"> Mutual Pension Insurance Company, the three biggest shareholders of the company, subscribed for the new shares in accordance with their conditional subscription undertakings at minimum for such number of the new shares that corresponds to their pro rata proportions of the company's outstanding shares.</w:t>
      </w:r>
    </w:p>
    <w:p w:rsidR="00F40F75" w:rsidRPr="00F40F75" w:rsidRDefault="00F40F75" w:rsidP="00F40F75">
      <w:pPr>
        <w:ind w:left="709"/>
        <w:rPr>
          <w:rFonts w:cs="Arial"/>
        </w:rPr>
      </w:pPr>
    </w:p>
    <w:p w:rsidR="00F40F75" w:rsidRPr="00F40F75" w:rsidRDefault="00F40F75" w:rsidP="00F40F75">
      <w:pPr>
        <w:ind w:left="709"/>
        <w:rPr>
          <w:rFonts w:cs="Arial"/>
        </w:rPr>
      </w:pPr>
      <w:r w:rsidRPr="00F40F75">
        <w:rPr>
          <w:rFonts w:cs="Arial"/>
        </w:rPr>
        <w:t xml:space="preserve">The company collected EUR </w:t>
      </w:r>
      <w:r w:rsidRPr="00D1166D">
        <w:rPr>
          <w:rFonts w:cs="Arial"/>
          <w:highlight w:val="yellow"/>
        </w:rPr>
        <w:t>2,18</w:t>
      </w:r>
      <w:r w:rsidR="00C31C99" w:rsidRPr="00D1166D">
        <w:rPr>
          <w:rFonts w:cs="Arial"/>
          <w:highlight w:val="yellow"/>
        </w:rPr>
        <w:t>2</w:t>
      </w:r>
      <w:r w:rsidRPr="00D1166D">
        <w:rPr>
          <w:rFonts w:cs="Arial"/>
          <w:highlight w:val="yellow"/>
        </w:rPr>
        <w:t>,280.70</w:t>
      </w:r>
      <w:r w:rsidRPr="00F40F75">
        <w:rPr>
          <w:rFonts w:cs="Arial"/>
        </w:rPr>
        <w:t xml:space="preserve"> new equity through the rights issue i.e. the full amount targeted under the rights issue. Altogether 1,033 subscribers participated in the rights issue by the preferred subscription rights and 471 subscribers by the secondary subscription rights.</w:t>
      </w:r>
    </w:p>
    <w:p w:rsidR="00F40F75" w:rsidRPr="00F40F75" w:rsidRDefault="00F40F75" w:rsidP="00F40F75">
      <w:pPr>
        <w:ind w:left="709"/>
        <w:rPr>
          <w:rFonts w:cs="Arial"/>
        </w:rPr>
      </w:pPr>
    </w:p>
    <w:p w:rsidR="00F40F75" w:rsidRPr="00F40F75" w:rsidRDefault="00F40F75" w:rsidP="00F40F75">
      <w:pPr>
        <w:ind w:left="709"/>
        <w:rPr>
          <w:rFonts w:cs="Arial"/>
        </w:rPr>
      </w:pPr>
      <w:r w:rsidRPr="00F40F75">
        <w:rPr>
          <w:rFonts w:cs="Arial"/>
        </w:rPr>
        <w:t>As a result of the rights issue, the number of the company's shares was doubled and increased by 109,114,035 to 218,228,070 shares. The total subscription price amounting to EUR 2,181,280.70 together with the related costs for the share issue (approximately EUR 0.2 million) were recorded in the invested unrestricted equity reserve of the company. The rights issue did not amend the registered share capital of the company.</w:t>
      </w:r>
    </w:p>
    <w:p w:rsidR="00F40F75" w:rsidRPr="00F40F75" w:rsidRDefault="00F40F75" w:rsidP="00F40F75">
      <w:pPr>
        <w:ind w:left="709"/>
        <w:rPr>
          <w:rFonts w:cs="Arial"/>
        </w:rPr>
      </w:pPr>
    </w:p>
    <w:p w:rsidR="00F40F75" w:rsidRPr="00F40F75" w:rsidRDefault="00F40F75" w:rsidP="00F40F75">
      <w:pPr>
        <w:ind w:left="709"/>
        <w:rPr>
          <w:rFonts w:cs="Arial"/>
        </w:rPr>
      </w:pPr>
      <w:r w:rsidRPr="00F40F75">
        <w:rPr>
          <w:rFonts w:cs="Arial"/>
        </w:rPr>
        <w:t>The new shares were admitted to trading on NASDAQ OMX Helsinki on 1 July 2015.</w:t>
      </w:r>
    </w:p>
    <w:p w:rsidR="00F40F75" w:rsidRDefault="00F40F75" w:rsidP="0065535F">
      <w:pPr>
        <w:ind w:left="709"/>
        <w:rPr>
          <w:rFonts w:cs="Arial"/>
          <w:b/>
        </w:rPr>
      </w:pPr>
    </w:p>
    <w:p w:rsidR="0062370E" w:rsidRPr="008951BF" w:rsidRDefault="0062370E" w:rsidP="0065535F">
      <w:pPr>
        <w:ind w:left="709"/>
        <w:rPr>
          <w:rFonts w:cs="Arial"/>
          <w:b/>
        </w:rPr>
      </w:pPr>
      <w:r w:rsidRPr="00823D72">
        <w:rPr>
          <w:rFonts w:cs="Arial"/>
          <w:b/>
        </w:rPr>
        <w:t>Annual General Meeting</w:t>
      </w:r>
      <w:r w:rsidR="00186D56" w:rsidRPr="00823D72">
        <w:rPr>
          <w:rFonts w:cs="Arial"/>
          <w:b/>
        </w:rPr>
        <w:t xml:space="preserve"> 201</w:t>
      </w:r>
      <w:r w:rsidR="00751DCF" w:rsidRPr="00823D72">
        <w:rPr>
          <w:rFonts w:cs="Arial"/>
          <w:b/>
        </w:rPr>
        <w:t>5</w:t>
      </w:r>
    </w:p>
    <w:p w:rsidR="0062370E" w:rsidRPr="008951BF" w:rsidRDefault="0062370E" w:rsidP="0065535F">
      <w:pPr>
        <w:ind w:left="709"/>
        <w:rPr>
          <w:rFonts w:cs="Arial"/>
        </w:rPr>
      </w:pPr>
      <w:r w:rsidRPr="008951BF">
        <w:rPr>
          <w:rFonts w:cs="Arial"/>
        </w:rPr>
        <w:t xml:space="preserve">The Annual General Meeting of </w:t>
      </w:r>
      <w:proofErr w:type="spellStart"/>
      <w:r w:rsidRPr="008951BF">
        <w:rPr>
          <w:rFonts w:cs="Arial"/>
        </w:rPr>
        <w:t>Incap</w:t>
      </w:r>
      <w:proofErr w:type="spellEnd"/>
      <w:r w:rsidRPr="008951BF">
        <w:rPr>
          <w:rFonts w:cs="Arial"/>
        </w:rPr>
        <w:t xml:space="preserve"> Corporation was held in Helsinki on </w:t>
      </w:r>
      <w:r w:rsidR="00823D72">
        <w:rPr>
          <w:rFonts w:cs="Arial"/>
        </w:rPr>
        <w:t>31 March 2015</w:t>
      </w:r>
      <w:r w:rsidRPr="008951BF">
        <w:rPr>
          <w:rFonts w:cs="Arial"/>
        </w:rPr>
        <w:t xml:space="preserve">. A total of </w:t>
      </w:r>
      <w:r w:rsidR="00823D72">
        <w:rPr>
          <w:rFonts w:cs="Arial"/>
        </w:rPr>
        <w:t>15</w:t>
      </w:r>
      <w:r w:rsidRPr="008951BF">
        <w:rPr>
          <w:rFonts w:cs="Arial"/>
        </w:rPr>
        <w:t xml:space="preserve"> shareholders participated in the meeting, representing </w:t>
      </w:r>
      <w:r w:rsidR="00186D56" w:rsidRPr="008951BF">
        <w:rPr>
          <w:rFonts w:cs="Arial"/>
        </w:rPr>
        <w:t xml:space="preserve">approximately </w:t>
      </w:r>
      <w:r w:rsidR="00823D72">
        <w:rPr>
          <w:rFonts w:cs="Arial"/>
        </w:rPr>
        <w:t>69.4</w:t>
      </w:r>
      <w:r w:rsidRPr="008951BF">
        <w:rPr>
          <w:rFonts w:cs="Arial"/>
        </w:rPr>
        <w:t>% of all shares and votes.</w:t>
      </w:r>
      <w:r w:rsidR="00186D56" w:rsidRPr="008951BF">
        <w:rPr>
          <w:rFonts w:cs="Arial"/>
        </w:rPr>
        <w:t xml:space="preserve"> </w:t>
      </w:r>
      <w:r w:rsidRPr="008951BF">
        <w:rPr>
          <w:rFonts w:cs="Arial"/>
        </w:rPr>
        <w:t xml:space="preserve">The </w:t>
      </w:r>
      <w:r w:rsidR="00186D56" w:rsidRPr="008951BF">
        <w:rPr>
          <w:rFonts w:cs="Arial"/>
        </w:rPr>
        <w:t>Annual General Meeting</w:t>
      </w:r>
      <w:r w:rsidRPr="008951BF">
        <w:rPr>
          <w:rFonts w:cs="Arial"/>
        </w:rPr>
        <w:t xml:space="preserve"> adopted the financial statements for the financia</w:t>
      </w:r>
      <w:r w:rsidR="00186D56" w:rsidRPr="008951BF">
        <w:rPr>
          <w:rFonts w:cs="Arial"/>
        </w:rPr>
        <w:t>l period ended 31 December 201</w:t>
      </w:r>
      <w:r w:rsidR="00823D72">
        <w:rPr>
          <w:rFonts w:cs="Arial"/>
        </w:rPr>
        <w:t>4</w:t>
      </w:r>
      <w:r w:rsidR="00186D56" w:rsidRPr="008951BF">
        <w:rPr>
          <w:rFonts w:cs="Arial"/>
        </w:rPr>
        <w:t xml:space="preserve"> and decided, i</w:t>
      </w:r>
      <w:r w:rsidRPr="008951BF">
        <w:rPr>
          <w:rFonts w:cs="Arial"/>
        </w:rPr>
        <w:t>n accordance with the proposal of the Board of Directors, that no dividend be distributed for the financial period and that t</w:t>
      </w:r>
      <w:r w:rsidR="00547579">
        <w:rPr>
          <w:rFonts w:cs="Arial"/>
        </w:rPr>
        <w:t>he loss for the financial perio</w:t>
      </w:r>
      <w:r w:rsidRPr="008951BF">
        <w:rPr>
          <w:rFonts w:cs="Arial"/>
        </w:rPr>
        <w:t xml:space="preserve">d (EUR </w:t>
      </w:r>
      <w:r w:rsidR="00823D72">
        <w:rPr>
          <w:rFonts w:cs="Arial"/>
        </w:rPr>
        <w:t>2,677,306.56</w:t>
      </w:r>
      <w:r w:rsidRPr="008951BF">
        <w:rPr>
          <w:rFonts w:cs="Arial"/>
        </w:rPr>
        <w:t>) be recognised in equity. The Annual General Meeting discharged the members of the Board of Directors and the President and CEO from liability.</w:t>
      </w:r>
    </w:p>
    <w:p w:rsidR="00186D56" w:rsidRPr="008951BF" w:rsidRDefault="00186D56" w:rsidP="0065535F">
      <w:pPr>
        <w:ind w:left="709"/>
        <w:rPr>
          <w:rFonts w:cs="Arial"/>
        </w:rPr>
      </w:pPr>
    </w:p>
    <w:p w:rsidR="00186D56" w:rsidRPr="008951BF" w:rsidRDefault="00186D56" w:rsidP="0065535F">
      <w:pPr>
        <w:ind w:left="709"/>
        <w:rPr>
          <w:rFonts w:cs="Arial"/>
          <w:b/>
        </w:rPr>
      </w:pPr>
      <w:r w:rsidRPr="00823D72">
        <w:rPr>
          <w:rFonts w:cs="Arial"/>
          <w:b/>
        </w:rPr>
        <w:t>Extraordinary General Meeting</w:t>
      </w:r>
    </w:p>
    <w:p w:rsidR="000C08C2" w:rsidRPr="008951BF" w:rsidRDefault="000C08C2" w:rsidP="000C08C2">
      <w:pPr>
        <w:ind w:left="709"/>
        <w:rPr>
          <w:rFonts w:cs="Arial"/>
        </w:rPr>
      </w:pPr>
      <w:proofErr w:type="spellStart"/>
      <w:r w:rsidRPr="008951BF">
        <w:rPr>
          <w:rFonts w:cs="Arial"/>
        </w:rPr>
        <w:t>Incap</w:t>
      </w:r>
      <w:proofErr w:type="spellEnd"/>
      <w:r w:rsidRPr="008951BF">
        <w:rPr>
          <w:rFonts w:cs="Arial"/>
        </w:rPr>
        <w:t xml:space="preserve"> Corporation’s Extraordinary General Meet</w:t>
      </w:r>
      <w:r w:rsidR="00547579">
        <w:rPr>
          <w:rFonts w:cs="Arial"/>
        </w:rPr>
        <w:t xml:space="preserve">ing was held on </w:t>
      </w:r>
      <w:r w:rsidR="00B7769B">
        <w:rPr>
          <w:rFonts w:cs="Arial"/>
        </w:rPr>
        <w:t>7 May 2015</w:t>
      </w:r>
      <w:r w:rsidRPr="008951BF">
        <w:rPr>
          <w:rFonts w:cs="Arial"/>
        </w:rPr>
        <w:t>. A total of 1</w:t>
      </w:r>
      <w:r w:rsidR="00B7769B">
        <w:rPr>
          <w:rFonts w:cs="Arial"/>
        </w:rPr>
        <w:t>4</w:t>
      </w:r>
      <w:r w:rsidRPr="008951BF">
        <w:rPr>
          <w:rFonts w:cs="Arial"/>
        </w:rPr>
        <w:t xml:space="preserve"> shareholders participated</w:t>
      </w:r>
      <w:r w:rsidR="00B7769B">
        <w:rPr>
          <w:rFonts w:cs="Arial"/>
        </w:rPr>
        <w:t xml:space="preserve"> in the meeting, representing approximately 60</w:t>
      </w:r>
      <w:r w:rsidR="00F40F75">
        <w:rPr>
          <w:rFonts w:cs="Arial"/>
        </w:rPr>
        <w:t>.0</w:t>
      </w:r>
      <w:r w:rsidRPr="008951BF">
        <w:rPr>
          <w:rFonts w:cs="Arial"/>
        </w:rPr>
        <w:t>% of all shares and votes.</w:t>
      </w:r>
    </w:p>
    <w:p w:rsidR="000C08C2" w:rsidRPr="008951BF" w:rsidRDefault="000C08C2" w:rsidP="000C08C2">
      <w:pPr>
        <w:ind w:left="709"/>
        <w:rPr>
          <w:rFonts w:cs="Arial"/>
        </w:rPr>
      </w:pPr>
    </w:p>
    <w:p w:rsidR="00823D72" w:rsidRDefault="00823D72" w:rsidP="00823D72">
      <w:pPr>
        <w:ind w:left="709"/>
        <w:rPr>
          <w:rFonts w:cs="Arial"/>
        </w:rPr>
      </w:pPr>
      <w:r w:rsidRPr="00823D72">
        <w:rPr>
          <w:rFonts w:cs="Arial"/>
        </w:rPr>
        <w:t>The Extraordinary General Meeting resolved to authorise the Board of Directors in accordance with the Board of Directors' proposal to decide on a share issue to the shareholders of the company in proportion to the current shareholdings in the company (rights issue) so that the maximum number of new shares to be issued based on the authorization is 109,114,035 new shares of the company.</w:t>
      </w:r>
    </w:p>
    <w:p w:rsidR="00823D72" w:rsidRPr="00823D72" w:rsidRDefault="00823D72" w:rsidP="00823D72">
      <w:pPr>
        <w:ind w:left="709"/>
        <w:rPr>
          <w:rFonts w:cs="Arial"/>
        </w:rPr>
      </w:pPr>
      <w:r w:rsidRPr="00823D72">
        <w:rPr>
          <w:rFonts w:cs="Arial"/>
        </w:rPr>
        <w:t xml:space="preserve"> </w:t>
      </w:r>
    </w:p>
    <w:p w:rsidR="00823D72" w:rsidRDefault="00823D72" w:rsidP="00823D72">
      <w:pPr>
        <w:ind w:left="709"/>
        <w:rPr>
          <w:rFonts w:cs="Arial"/>
        </w:rPr>
      </w:pPr>
      <w:r w:rsidRPr="00823D72">
        <w:rPr>
          <w:rFonts w:cs="Arial"/>
        </w:rPr>
        <w:t xml:space="preserve">The Board of Directors </w:t>
      </w:r>
      <w:r>
        <w:rPr>
          <w:rFonts w:cs="Arial"/>
        </w:rPr>
        <w:t xml:space="preserve">used the authorisation in June 2015, when the company arranged a successful rights issue. </w:t>
      </w:r>
    </w:p>
    <w:p w:rsidR="00B62B8D" w:rsidRDefault="00B62B8D" w:rsidP="00823D72">
      <w:pPr>
        <w:ind w:left="709"/>
        <w:rPr>
          <w:rFonts w:cs="Arial"/>
        </w:rPr>
      </w:pPr>
    </w:p>
    <w:p w:rsidR="00B62B8D" w:rsidRPr="00B62B8D" w:rsidRDefault="00B62B8D" w:rsidP="00B62B8D">
      <w:pPr>
        <w:ind w:left="709"/>
        <w:rPr>
          <w:rFonts w:cs="Arial"/>
        </w:rPr>
      </w:pPr>
      <w:r w:rsidRPr="00B62B8D">
        <w:rPr>
          <w:rFonts w:cs="Arial"/>
          <w:b/>
        </w:rPr>
        <w:t>Reduction of share capital</w:t>
      </w:r>
      <w:r w:rsidRPr="00B62B8D">
        <w:rPr>
          <w:rFonts w:cs="Arial"/>
          <w:b/>
        </w:rPr>
        <w:br/>
      </w:r>
      <w:r w:rsidRPr="00B62B8D">
        <w:rPr>
          <w:rFonts w:cs="Arial"/>
        </w:rPr>
        <w:t xml:space="preserve">The General Meeting held on 31 March 2015 resolved to reduce the share capital of the company from the present EUR 20,486,769.50 to cover the losses and to transfer funds to unrestricted equity reserves. After the implementation of necessary steps the new share capital of the company would be EUR 1,000,000 and the unrestricted equity reserve EUR 6,958,257.44. The parent company’s equity would accordingly exceed the level set in the Companies Act, chapter 20, section 23. Covering the losses </w:t>
      </w:r>
      <w:r>
        <w:rPr>
          <w:rFonts w:cs="Arial"/>
        </w:rPr>
        <w:t>would</w:t>
      </w:r>
      <w:r w:rsidRPr="00B62B8D">
        <w:rPr>
          <w:rFonts w:cs="Arial"/>
        </w:rPr>
        <w:t xml:space="preserve"> clarify </w:t>
      </w:r>
      <w:r w:rsidRPr="00B62B8D">
        <w:rPr>
          <w:rFonts w:cs="Arial"/>
        </w:rPr>
        <w:lastRenderedPageBreak/>
        <w:t xml:space="preserve">the parent company’s balance sheet structure and improve the ratio between the company’s equity and share capital. </w:t>
      </w:r>
    </w:p>
    <w:p w:rsidR="00B62B8D" w:rsidRPr="00B62B8D" w:rsidRDefault="00B62B8D" w:rsidP="00B62B8D">
      <w:pPr>
        <w:ind w:left="709"/>
        <w:rPr>
          <w:rFonts w:cs="Arial"/>
        </w:rPr>
      </w:pPr>
    </w:p>
    <w:p w:rsidR="00B62B8D" w:rsidRDefault="00B62B8D" w:rsidP="00B62B8D">
      <w:pPr>
        <w:ind w:left="709"/>
        <w:rPr>
          <w:rFonts w:cs="Arial"/>
        </w:rPr>
      </w:pPr>
      <w:r w:rsidRPr="00B62B8D">
        <w:rPr>
          <w:rFonts w:cs="Arial"/>
        </w:rPr>
        <w:t>Because the respective decision of the Annual General Meeting was not entered into the trade register within the obligatory period of one month, the decision of the General Meeting has become void. Due to this, a new decision on the reduction of the share capital will be taken in the next Annual General Meeting in 2016, or in an extraordinary general meeting, in case there is a reason to organise such a meeting based on any other issue.</w:t>
      </w:r>
    </w:p>
    <w:p w:rsidR="00823D72" w:rsidRDefault="00823D72" w:rsidP="00823D72">
      <w:pPr>
        <w:ind w:left="709"/>
        <w:rPr>
          <w:rFonts w:cs="Arial"/>
        </w:rPr>
      </w:pPr>
    </w:p>
    <w:p w:rsidR="000C08C2" w:rsidRPr="00854306" w:rsidRDefault="00F40F75" w:rsidP="000C08C2">
      <w:pPr>
        <w:ind w:left="709"/>
        <w:rPr>
          <w:rFonts w:cs="Arial"/>
          <w:b/>
        </w:rPr>
      </w:pPr>
      <w:r>
        <w:rPr>
          <w:rFonts w:cs="Arial"/>
          <w:b/>
        </w:rPr>
        <w:t>Present a</w:t>
      </w:r>
      <w:r w:rsidR="000C08C2" w:rsidRPr="00B7769B">
        <w:rPr>
          <w:rFonts w:cs="Arial"/>
          <w:b/>
        </w:rPr>
        <w:t>uthorisation of the Board of Directors</w:t>
      </w:r>
    </w:p>
    <w:p w:rsidR="00B7769B" w:rsidRPr="00B7769B" w:rsidRDefault="00B7769B" w:rsidP="00B7769B">
      <w:pPr>
        <w:ind w:left="709"/>
        <w:rPr>
          <w:rFonts w:cs="Arial"/>
        </w:rPr>
      </w:pPr>
      <w:r w:rsidRPr="00B7769B">
        <w:rPr>
          <w:rFonts w:cs="Arial"/>
        </w:rPr>
        <w:t xml:space="preserve">The Annual General Meeting </w:t>
      </w:r>
      <w:r>
        <w:rPr>
          <w:rFonts w:cs="Arial"/>
        </w:rPr>
        <w:t xml:space="preserve">held on 31 March 2015 </w:t>
      </w:r>
      <w:r w:rsidRPr="00B7769B">
        <w:rPr>
          <w:rFonts w:cs="Arial"/>
        </w:rPr>
        <w:t xml:space="preserve">authorised the Board of Directors to decide to issue a maximum of 10,911,403 new shares either against payment or without payment. The new shares may be issued to the company's shareholders in proportion to their current shareholdings in the company or deviating from the shareholders' pre-emptive right through one or more directed share issue, if the company has a weighty financial reason to do so, such as developing the company’s equity structure, implementing mergers and acquisitions or other restructuring measures aimed at developing the company’s business, financing of investments and operations or using the shares as a part of the company’s remuneration and compensation system. The Board of Directors will decide upon terms and scope related to share issues. </w:t>
      </w:r>
    </w:p>
    <w:p w:rsidR="00B7769B" w:rsidRPr="00B7769B" w:rsidRDefault="00B7769B" w:rsidP="00B7769B">
      <w:pPr>
        <w:ind w:left="709"/>
        <w:rPr>
          <w:rFonts w:cs="Arial"/>
        </w:rPr>
      </w:pPr>
    </w:p>
    <w:p w:rsidR="00B7769B" w:rsidRPr="00B7769B" w:rsidRDefault="00B7769B" w:rsidP="00B7769B">
      <w:pPr>
        <w:ind w:left="709"/>
        <w:rPr>
          <w:rFonts w:cs="Arial"/>
        </w:rPr>
      </w:pPr>
      <w:r>
        <w:rPr>
          <w:rFonts w:cs="Arial"/>
        </w:rPr>
        <w:t>The Board of Directors has not used the authorisation, which is valid until 31 March 2016.</w:t>
      </w:r>
    </w:p>
    <w:p w:rsidR="00B7769B" w:rsidRPr="008951BF" w:rsidRDefault="00B7769B" w:rsidP="000C08C2">
      <w:pPr>
        <w:ind w:left="709"/>
        <w:rPr>
          <w:rFonts w:cs="Arial"/>
        </w:rPr>
      </w:pPr>
    </w:p>
    <w:p w:rsidR="0062370E" w:rsidRPr="008951BF" w:rsidRDefault="0062370E" w:rsidP="0065535F">
      <w:pPr>
        <w:ind w:left="709"/>
        <w:rPr>
          <w:rFonts w:cs="Arial"/>
          <w:b/>
        </w:rPr>
      </w:pPr>
      <w:r w:rsidRPr="008951BF">
        <w:rPr>
          <w:rFonts w:cs="Arial"/>
          <w:b/>
        </w:rPr>
        <w:t>Board of Directors and Auditor</w:t>
      </w:r>
    </w:p>
    <w:p w:rsidR="0062370E" w:rsidRPr="008951BF" w:rsidRDefault="0062370E" w:rsidP="0065535F">
      <w:pPr>
        <w:ind w:left="709"/>
        <w:rPr>
          <w:rFonts w:cs="Arial"/>
        </w:rPr>
      </w:pPr>
      <w:r w:rsidRPr="008951BF">
        <w:rPr>
          <w:rFonts w:cs="Arial"/>
        </w:rPr>
        <w:t xml:space="preserve">The Annual General Meeting held on </w:t>
      </w:r>
      <w:r w:rsidR="00751DCF">
        <w:rPr>
          <w:rFonts w:cs="Arial"/>
        </w:rPr>
        <w:t>31 March 2015</w:t>
      </w:r>
      <w:r w:rsidRPr="008951BF">
        <w:rPr>
          <w:rFonts w:cs="Arial"/>
        </w:rPr>
        <w:t xml:space="preserve"> re-elected </w:t>
      </w:r>
      <w:r w:rsidR="00B83DB9" w:rsidRPr="008951BF">
        <w:rPr>
          <w:rFonts w:cs="Arial"/>
        </w:rPr>
        <w:t xml:space="preserve">Fredrik Berghel, </w:t>
      </w:r>
      <w:proofErr w:type="spellStart"/>
      <w:r w:rsidR="00751DCF">
        <w:rPr>
          <w:rFonts w:cs="Arial"/>
        </w:rPr>
        <w:t>Olle</w:t>
      </w:r>
      <w:proofErr w:type="spellEnd"/>
      <w:r w:rsidR="00751DCF">
        <w:rPr>
          <w:rFonts w:cs="Arial"/>
        </w:rPr>
        <w:t xml:space="preserve"> </w:t>
      </w:r>
      <w:proofErr w:type="spellStart"/>
      <w:r w:rsidR="00751DCF">
        <w:rPr>
          <w:rFonts w:cs="Arial"/>
        </w:rPr>
        <w:t>Hulteberg</w:t>
      </w:r>
      <w:proofErr w:type="spellEnd"/>
      <w:r w:rsidR="00751DCF">
        <w:rPr>
          <w:rFonts w:cs="Arial"/>
        </w:rPr>
        <w:t xml:space="preserve"> and</w:t>
      </w:r>
      <w:r w:rsidR="00B83DB9" w:rsidRPr="008951BF">
        <w:rPr>
          <w:rFonts w:cs="Arial"/>
        </w:rPr>
        <w:t xml:space="preserve"> Susanna </w:t>
      </w:r>
      <w:proofErr w:type="spellStart"/>
      <w:r w:rsidR="00B83DB9" w:rsidRPr="008951BF">
        <w:rPr>
          <w:rFonts w:cs="Arial"/>
        </w:rPr>
        <w:t>Miekk-oja</w:t>
      </w:r>
      <w:proofErr w:type="spellEnd"/>
      <w:r w:rsidR="00B83DB9" w:rsidRPr="008951BF">
        <w:rPr>
          <w:rFonts w:cs="Arial"/>
        </w:rPr>
        <w:t xml:space="preserve"> </w:t>
      </w:r>
      <w:r w:rsidR="00F40F75">
        <w:rPr>
          <w:rFonts w:cs="Arial"/>
        </w:rPr>
        <w:t>to the Board</w:t>
      </w:r>
      <w:r w:rsidRPr="008951BF">
        <w:rPr>
          <w:rFonts w:cs="Arial"/>
        </w:rPr>
        <w:t xml:space="preserve"> </w:t>
      </w:r>
      <w:r w:rsidR="00751DCF">
        <w:rPr>
          <w:rFonts w:cs="Arial"/>
        </w:rPr>
        <w:t xml:space="preserve">and </w:t>
      </w:r>
      <w:r w:rsidR="00F40F75">
        <w:rPr>
          <w:rFonts w:cs="Arial"/>
        </w:rPr>
        <w:t xml:space="preserve">elected </w:t>
      </w:r>
      <w:r w:rsidR="00751DCF">
        <w:rPr>
          <w:rFonts w:cs="Arial"/>
        </w:rPr>
        <w:t>Rainer Toiminen and Carl-</w:t>
      </w:r>
      <w:proofErr w:type="spellStart"/>
      <w:r w:rsidR="00751DCF">
        <w:rPr>
          <w:rFonts w:cs="Arial"/>
        </w:rPr>
        <w:t>Gustaf</w:t>
      </w:r>
      <w:proofErr w:type="spellEnd"/>
      <w:r w:rsidR="00751DCF">
        <w:rPr>
          <w:rFonts w:cs="Arial"/>
        </w:rPr>
        <w:t xml:space="preserve"> von </w:t>
      </w:r>
      <w:proofErr w:type="spellStart"/>
      <w:r w:rsidR="00751DCF">
        <w:rPr>
          <w:rFonts w:cs="Arial"/>
        </w:rPr>
        <w:t>Troil</w:t>
      </w:r>
      <w:proofErr w:type="spellEnd"/>
      <w:r w:rsidR="00751DCF">
        <w:rPr>
          <w:rFonts w:cs="Arial"/>
        </w:rPr>
        <w:t xml:space="preserve"> as new members to the </w:t>
      </w:r>
      <w:r w:rsidRPr="008951BF">
        <w:rPr>
          <w:rFonts w:cs="Arial"/>
        </w:rPr>
        <w:t xml:space="preserve">Board of Directors. From among its members, the Board elected </w:t>
      </w:r>
      <w:proofErr w:type="spellStart"/>
      <w:r w:rsidR="00751DCF">
        <w:rPr>
          <w:rFonts w:cs="Arial"/>
        </w:rPr>
        <w:t>Olle</w:t>
      </w:r>
      <w:proofErr w:type="spellEnd"/>
      <w:r w:rsidR="00751DCF">
        <w:rPr>
          <w:rFonts w:cs="Arial"/>
        </w:rPr>
        <w:t xml:space="preserve"> </w:t>
      </w:r>
      <w:proofErr w:type="spellStart"/>
      <w:r w:rsidR="00751DCF">
        <w:rPr>
          <w:rFonts w:cs="Arial"/>
        </w:rPr>
        <w:t>Hulteberg</w:t>
      </w:r>
      <w:proofErr w:type="spellEnd"/>
      <w:r w:rsidRPr="008951BF">
        <w:rPr>
          <w:rFonts w:cs="Arial"/>
        </w:rPr>
        <w:t xml:space="preserve"> to the Chairman of the Board. </w:t>
      </w:r>
    </w:p>
    <w:p w:rsidR="00B83DB9" w:rsidRPr="008951BF" w:rsidRDefault="00B83DB9" w:rsidP="0065535F">
      <w:pPr>
        <w:ind w:left="709"/>
        <w:rPr>
          <w:rFonts w:cs="Arial"/>
        </w:rPr>
      </w:pPr>
    </w:p>
    <w:p w:rsidR="0062370E" w:rsidRPr="008951BF" w:rsidRDefault="0062370E" w:rsidP="0065535F">
      <w:pPr>
        <w:ind w:left="709"/>
        <w:rPr>
          <w:rFonts w:cs="Arial"/>
        </w:rPr>
      </w:pPr>
      <w:r w:rsidRPr="008951BF">
        <w:rPr>
          <w:rFonts w:cs="Arial"/>
        </w:rPr>
        <w:t xml:space="preserve">The firm of independent accountants Ernst &amp; Young </w:t>
      </w:r>
      <w:proofErr w:type="spellStart"/>
      <w:r w:rsidRPr="008951BF">
        <w:rPr>
          <w:rFonts w:cs="Arial"/>
        </w:rPr>
        <w:t>Oy</w:t>
      </w:r>
      <w:proofErr w:type="spellEnd"/>
      <w:r w:rsidRPr="008951BF">
        <w:rPr>
          <w:rFonts w:cs="Arial"/>
        </w:rPr>
        <w:t xml:space="preserve"> </w:t>
      </w:r>
      <w:r w:rsidR="00751DCF">
        <w:rPr>
          <w:rFonts w:cs="Arial"/>
        </w:rPr>
        <w:t>was re-elected</w:t>
      </w:r>
      <w:r w:rsidR="00B83DB9" w:rsidRPr="008951BF">
        <w:rPr>
          <w:rFonts w:cs="Arial"/>
        </w:rPr>
        <w:t xml:space="preserve"> as</w:t>
      </w:r>
      <w:r w:rsidRPr="008951BF">
        <w:rPr>
          <w:rFonts w:cs="Arial"/>
        </w:rPr>
        <w:t xml:space="preserve"> the company's auditor, with </w:t>
      </w:r>
      <w:proofErr w:type="spellStart"/>
      <w:r w:rsidRPr="008951BF">
        <w:rPr>
          <w:rFonts w:cs="Arial"/>
        </w:rPr>
        <w:t>Jari</w:t>
      </w:r>
      <w:proofErr w:type="spellEnd"/>
      <w:r w:rsidRPr="008951BF">
        <w:rPr>
          <w:rFonts w:cs="Arial"/>
        </w:rPr>
        <w:t xml:space="preserve"> </w:t>
      </w:r>
      <w:proofErr w:type="spellStart"/>
      <w:r w:rsidRPr="008951BF">
        <w:rPr>
          <w:rFonts w:cs="Arial"/>
        </w:rPr>
        <w:t>Karppinen</w:t>
      </w:r>
      <w:proofErr w:type="spellEnd"/>
      <w:r w:rsidRPr="008951BF">
        <w:rPr>
          <w:rFonts w:cs="Arial"/>
        </w:rPr>
        <w:t xml:space="preserve">, Authorised Public Accountant, as the principal auditor. </w:t>
      </w:r>
    </w:p>
    <w:p w:rsidR="0062370E" w:rsidRPr="008951BF" w:rsidRDefault="0062370E" w:rsidP="0065535F">
      <w:pPr>
        <w:ind w:left="709"/>
        <w:rPr>
          <w:rFonts w:cs="Arial"/>
        </w:rPr>
      </w:pPr>
    </w:p>
    <w:p w:rsidR="0062370E" w:rsidRPr="008951BF" w:rsidRDefault="0062370E" w:rsidP="0065535F">
      <w:pPr>
        <w:ind w:left="709"/>
        <w:rPr>
          <w:rFonts w:cs="Arial"/>
          <w:b/>
        </w:rPr>
      </w:pPr>
      <w:r w:rsidRPr="00B7769B">
        <w:rPr>
          <w:rFonts w:cs="Arial"/>
          <w:b/>
        </w:rPr>
        <w:t>Shares and shareholders</w:t>
      </w:r>
    </w:p>
    <w:p w:rsidR="00B83DB9" w:rsidRPr="008951BF" w:rsidRDefault="0062370E" w:rsidP="0065535F">
      <w:pPr>
        <w:ind w:left="709"/>
        <w:rPr>
          <w:rFonts w:cs="Arial"/>
        </w:rPr>
      </w:pPr>
      <w:proofErr w:type="spellStart"/>
      <w:r w:rsidRPr="008951BF">
        <w:rPr>
          <w:rFonts w:cs="Arial"/>
        </w:rPr>
        <w:t>Incap</w:t>
      </w:r>
      <w:proofErr w:type="spellEnd"/>
      <w:r w:rsidRPr="008951BF">
        <w:rPr>
          <w:rFonts w:cs="Arial"/>
        </w:rPr>
        <w:t xml:space="preserve"> Corporation has one series of shares, and the number of shares at the end of the </w:t>
      </w:r>
      <w:r w:rsidR="00F40F75">
        <w:rPr>
          <w:rFonts w:cs="Arial"/>
        </w:rPr>
        <w:t xml:space="preserve">reporting </w:t>
      </w:r>
      <w:r w:rsidRPr="008951BF">
        <w:rPr>
          <w:rFonts w:cs="Arial"/>
        </w:rPr>
        <w:t xml:space="preserve">period was </w:t>
      </w:r>
      <w:r w:rsidR="00B7769B">
        <w:rPr>
          <w:rFonts w:cs="Arial"/>
        </w:rPr>
        <w:t>218,228,070</w:t>
      </w:r>
      <w:r w:rsidR="00B83DB9" w:rsidRPr="008951BF">
        <w:rPr>
          <w:rFonts w:cs="Arial"/>
        </w:rPr>
        <w:t xml:space="preserve"> (</w:t>
      </w:r>
      <w:r w:rsidR="00B7769B">
        <w:rPr>
          <w:rFonts w:cs="Arial"/>
        </w:rPr>
        <w:t xml:space="preserve">30.6.2014: </w:t>
      </w:r>
      <w:r w:rsidR="00B83DB9" w:rsidRPr="008951BF">
        <w:rPr>
          <w:rFonts w:cs="Arial"/>
        </w:rPr>
        <w:t>109,114,035).</w:t>
      </w:r>
    </w:p>
    <w:p w:rsidR="00B83DB9" w:rsidRPr="008951BF" w:rsidRDefault="00B83DB9" w:rsidP="0065535F">
      <w:pPr>
        <w:ind w:left="709"/>
        <w:rPr>
          <w:rFonts w:cs="Arial"/>
        </w:rPr>
      </w:pPr>
    </w:p>
    <w:p w:rsidR="0062370E" w:rsidRDefault="0062370E" w:rsidP="00B83DB9">
      <w:pPr>
        <w:ind w:left="709"/>
        <w:rPr>
          <w:rFonts w:cs="Arial"/>
        </w:rPr>
      </w:pPr>
      <w:r w:rsidRPr="008951BF">
        <w:rPr>
          <w:rFonts w:cs="Arial"/>
        </w:rPr>
        <w:t xml:space="preserve">During the </w:t>
      </w:r>
      <w:r w:rsidR="00B7769B">
        <w:rPr>
          <w:rFonts w:cs="Arial"/>
        </w:rPr>
        <w:t>reporting</w:t>
      </w:r>
      <w:r w:rsidR="00B83DB9" w:rsidRPr="008951BF">
        <w:rPr>
          <w:rFonts w:cs="Arial"/>
        </w:rPr>
        <w:t xml:space="preserve"> </w:t>
      </w:r>
      <w:r w:rsidRPr="008951BF">
        <w:rPr>
          <w:rFonts w:cs="Arial"/>
        </w:rPr>
        <w:t>period, the share price varied between EUR 0.0</w:t>
      </w:r>
      <w:r w:rsidR="00B7769B">
        <w:rPr>
          <w:rFonts w:cs="Arial"/>
        </w:rPr>
        <w:t>3</w:t>
      </w:r>
      <w:r w:rsidRPr="008951BF">
        <w:rPr>
          <w:rFonts w:cs="Arial"/>
        </w:rPr>
        <w:t xml:space="preserve"> and 0.</w:t>
      </w:r>
      <w:r w:rsidR="00B7769B">
        <w:rPr>
          <w:rFonts w:cs="Arial"/>
        </w:rPr>
        <w:t>08 (EUR 0.04</w:t>
      </w:r>
      <w:r w:rsidRPr="008951BF">
        <w:rPr>
          <w:rFonts w:cs="Arial"/>
        </w:rPr>
        <w:t xml:space="preserve"> and 0.</w:t>
      </w:r>
      <w:r w:rsidR="00B7769B">
        <w:rPr>
          <w:rFonts w:cs="Arial"/>
        </w:rPr>
        <w:t>09</w:t>
      </w:r>
      <w:r w:rsidRPr="008951BF">
        <w:rPr>
          <w:rFonts w:cs="Arial"/>
        </w:rPr>
        <w:t>). The closing price was EUR 0.0</w:t>
      </w:r>
      <w:r w:rsidR="00B7769B">
        <w:rPr>
          <w:rFonts w:cs="Arial"/>
        </w:rPr>
        <w:t>8</w:t>
      </w:r>
      <w:r w:rsidRPr="008951BF">
        <w:rPr>
          <w:rFonts w:cs="Arial"/>
        </w:rPr>
        <w:t xml:space="preserve"> (EUR 0.</w:t>
      </w:r>
      <w:r w:rsidR="00B7769B">
        <w:rPr>
          <w:rFonts w:cs="Arial"/>
        </w:rPr>
        <w:t>06</w:t>
      </w:r>
      <w:r w:rsidRPr="008951BF">
        <w:rPr>
          <w:rFonts w:cs="Arial"/>
        </w:rPr>
        <w:t xml:space="preserve">). </w:t>
      </w:r>
      <w:r w:rsidR="00B83DB9" w:rsidRPr="008951BF">
        <w:rPr>
          <w:rFonts w:cs="Arial"/>
        </w:rPr>
        <w:t xml:space="preserve">The trading volume during the period was </w:t>
      </w:r>
      <w:r w:rsidR="00B7769B">
        <w:rPr>
          <w:rFonts w:cs="Arial"/>
        </w:rPr>
        <w:t>30,655,801</w:t>
      </w:r>
      <w:r w:rsidR="00B83DB9" w:rsidRPr="008951BF">
        <w:rPr>
          <w:rFonts w:cs="Arial"/>
        </w:rPr>
        <w:t xml:space="preserve"> shares, or </w:t>
      </w:r>
      <w:r w:rsidR="00B7769B">
        <w:rPr>
          <w:rFonts w:cs="Arial"/>
        </w:rPr>
        <w:t>14.</w:t>
      </w:r>
      <w:r w:rsidR="00CA1D67">
        <w:rPr>
          <w:rFonts w:cs="Arial"/>
        </w:rPr>
        <w:t>1</w:t>
      </w:r>
      <w:r w:rsidR="00B83DB9" w:rsidRPr="008951BF">
        <w:rPr>
          <w:rFonts w:cs="Arial"/>
        </w:rPr>
        <w:t>% of outstanding shares (</w:t>
      </w:r>
      <w:r w:rsidR="00B7769B">
        <w:rPr>
          <w:rFonts w:cs="Arial"/>
        </w:rPr>
        <w:t>22,659,425</w:t>
      </w:r>
      <w:r w:rsidR="00B83DB9" w:rsidRPr="008951BF">
        <w:rPr>
          <w:rFonts w:cs="Arial"/>
        </w:rPr>
        <w:t xml:space="preserve"> shares, or </w:t>
      </w:r>
      <w:r w:rsidR="00B7769B">
        <w:rPr>
          <w:rFonts w:cs="Arial"/>
        </w:rPr>
        <w:t>20.8</w:t>
      </w:r>
      <w:r w:rsidR="00B83DB9" w:rsidRPr="008951BF">
        <w:rPr>
          <w:rFonts w:cs="Arial"/>
        </w:rPr>
        <w:t>% of outstanding shares). The market capitalisation on 3</w:t>
      </w:r>
      <w:r w:rsidR="00B7769B">
        <w:rPr>
          <w:rFonts w:cs="Arial"/>
        </w:rPr>
        <w:t>0</w:t>
      </w:r>
      <w:r w:rsidR="00B83DB9" w:rsidRPr="008951BF">
        <w:rPr>
          <w:rFonts w:cs="Arial"/>
        </w:rPr>
        <w:t xml:space="preserve"> </w:t>
      </w:r>
      <w:r w:rsidR="00B7769B">
        <w:rPr>
          <w:rFonts w:cs="Arial"/>
        </w:rPr>
        <w:t>June</w:t>
      </w:r>
      <w:r w:rsidR="00B83DB9" w:rsidRPr="008951BF">
        <w:rPr>
          <w:rFonts w:cs="Arial"/>
        </w:rPr>
        <w:t xml:space="preserve"> 201</w:t>
      </w:r>
      <w:r w:rsidR="00B7769B">
        <w:rPr>
          <w:rFonts w:cs="Arial"/>
        </w:rPr>
        <w:t>5</w:t>
      </w:r>
      <w:r w:rsidR="00B83DB9" w:rsidRPr="008951BF">
        <w:rPr>
          <w:rFonts w:cs="Arial"/>
        </w:rPr>
        <w:t xml:space="preserve"> was EUR </w:t>
      </w:r>
      <w:r w:rsidR="00B7769B">
        <w:rPr>
          <w:rFonts w:cs="Arial"/>
        </w:rPr>
        <w:t>16.8</w:t>
      </w:r>
      <w:r w:rsidR="00B83DB9" w:rsidRPr="008951BF">
        <w:rPr>
          <w:rFonts w:cs="Arial"/>
        </w:rPr>
        <w:t xml:space="preserve"> million (EUR </w:t>
      </w:r>
      <w:r w:rsidR="00B7769B">
        <w:rPr>
          <w:rFonts w:cs="Arial"/>
        </w:rPr>
        <w:t>6.6</w:t>
      </w:r>
      <w:r w:rsidR="00B83DB9" w:rsidRPr="008951BF">
        <w:rPr>
          <w:rFonts w:cs="Arial"/>
        </w:rPr>
        <w:t xml:space="preserve"> million). At the end of </w:t>
      </w:r>
      <w:r w:rsidR="00B7769B">
        <w:rPr>
          <w:rFonts w:cs="Arial"/>
        </w:rPr>
        <w:t>reporting</w:t>
      </w:r>
      <w:r w:rsidR="00B83DB9" w:rsidRPr="008951BF">
        <w:rPr>
          <w:rFonts w:cs="Arial"/>
        </w:rPr>
        <w:t xml:space="preserve"> period, </w:t>
      </w:r>
      <w:proofErr w:type="spellStart"/>
      <w:r w:rsidR="00B83DB9" w:rsidRPr="008951BF">
        <w:rPr>
          <w:rFonts w:cs="Arial"/>
        </w:rPr>
        <w:t>Incap</w:t>
      </w:r>
      <w:proofErr w:type="spellEnd"/>
      <w:r w:rsidR="00B83DB9" w:rsidRPr="008951BF">
        <w:rPr>
          <w:rFonts w:cs="Arial"/>
        </w:rPr>
        <w:t xml:space="preserve"> had 1,</w:t>
      </w:r>
      <w:r w:rsidR="00B7769B">
        <w:rPr>
          <w:rFonts w:cs="Arial"/>
        </w:rPr>
        <w:t>648</w:t>
      </w:r>
      <w:r w:rsidR="00B83DB9" w:rsidRPr="008951BF">
        <w:rPr>
          <w:rFonts w:cs="Arial"/>
        </w:rPr>
        <w:t xml:space="preserve"> shareholders (1,</w:t>
      </w:r>
      <w:r w:rsidR="00B7769B">
        <w:rPr>
          <w:rFonts w:cs="Arial"/>
        </w:rPr>
        <w:t>697</w:t>
      </w:r>
      <w:r w:rsidR="00B83DB9" w:rsidRPr="008951BF">
        <w:rPr>
          <w:rFonts w:cs="Arial"/>
        </w:rPr>
        <w:t xml:space="preserve">). </w:t>
      </w:r>
      <w:r w:rsidRPr="008951BF">
        <w:rPr>
          <w:rFonts w:cs="Arial"/>
        </w:rPr>
        <w:t xml:space="preserve">Nominee-registered or foreign owners held </w:t>
      </w:r>
      <w:r w:rsidR="00B7769B">
        <w:rPr>
          <w:rFonts w:cs="Arial"/>
        </w:rPr>
        <w:t>41.6</w:t>
      </w:r>
      <w:r w:rsidRPr="008951BF">
        <w:rPr>
          <w:rFonts w:cs="Arial"/>
        </w:rPr>
        <w:t>% (</w:t>
      </w:r>
      <w:r w:rsidR="00B7769B">
        <w:rPr>
          <w:rFonts w:cs="Arial"/>
        </w:rPr>
        <w:t>30.6</w:t>
      </w:r>
      <w:r w:rsidRPr="008951BF">
        <w:rPr>
          <w:rFonts w:cs="Arial"/>
        </w:rPr>
        <w:t>%) of all shares. The company does not hold any of its own shares.</w:t>
      </w:r>
    </w:p>
    <w:p w:rsidR="00F32AC2" w:rsidRDefault="00F32AC2" w:rsidP="00B83DB9">
      <w:pPr>
        <w:ind w:left="709"/>
        <w:rPr>
          <w:rFonts w:cs="Arial"/>
        </w:rPr>
      </w:pPr>
    </w:p>
    <w:p w:rsidR="001C3A4D" w:rsidRDefault="001C3A4D" w:rsidP="00B83DB9">
      <w:pPr>
        <w:ind w:left="709"/>
        <w:rPr>
          <w:rFonts w:cs="Arial"/>
        </w:rPr>
      </w:pPr>
    </w:p>
    <w:p w:rsidR="001C3A4D" w:rsidRDefault="001C3A4D" w:rsidP="00B83DB9">
      <w:pPr>
        <w:ind w:left="709"/>
        <w:rPr>
          <w:rFonts w:cs="Arial"/>
        </w:rPr>
      </w:pPr>
    </w:p>
    <w:p w:rsidR="001C3A4D" w:rsidRDefault="001C3A4D" w:rsidP="00B83DB9">
      <w:pPr>
        <w:ind w:left="709"/>
        <w:rPr>
          <w:rFonts w:cs="Arial"/>
        </w:rPr>
      </w:pPr>
    </w:p>
    <w:p w:rsidR="001C3A4D" w:rsidRDefault="001C3A4D" w:rsidP="00B83DB9">
      <w:pPr>
        <w:ind w:left="709"/>
        <w:rPr>
          <w:rFonts w:cs="Arial"/>
        </w:rPr>
      </w:pPr>
    </w:p>
    <w:p w:rsidR="001C3A4D" w:rsidRDefault="001C3A4D" w:rsidP="00B83DB9">
      <w:pPr>
        <w:ind w:left="709"/>
        <w:rPr>
          <w:rFonts w:cs="Arial"/>
        </w:rPr>
      </w:pPr>
    </w:p>
    <w:p w:rsidR="001C3A4D" w:rsidRDefault="001C3A4D" w:rsidP="00B83DB9">
      <w:pPr>
        <w:ind w:left="709"/>
        <w:rPr>
          <w:rFonts w:cs="Arial"/>
        </w:rPr>
      </w:pPr>
    </w:p>
    <w:p w:rsidR="001C3A4D" w:rsidRDefault="001C3A4D" w:rsidP="00B83DB9">
      <w:pPr>
        <w:ind w:left="709"/>
        <w:rPr>
          <w:rFonts w:cs="Arial"/>
        </w:rPr>
      </w:pPr>
    </w:p>
    <w:p w:rsidR="00547579" w:rsidRPr="008951BF" w:rsidRDefault="00547579" w:rsidP="00B83DB9">
      <w:pPr>
        <w:ind w:left="709"/>
        <w:rPr>
          <w:rFonts w:cs="Arial"/>
        </w:rPr>
      </w:pPr>
    </w:p>
    <w:p w:rsidR="00263206" w:rsidRPr="008951BF" w:rsidRDefault="00263206" w:rsidP="00B83DB9">
      <w:pPr>
        <w:ind w:left="709"/>
        <w:rPr>
          <w:rFonts w:cs="Arial"/>
        </w:rPr>
      </w:pPr>
    </w:p>
    <w:tbl>
      <w:tblPr>
        <w:tblW w:w="0" w:type="auto"/>
        <w:tblInd w:w="817" w:type="dxa"/>
        <w:tblBorders>
          <w:insideH w:val="single" w:sz="18" w:space="0" w:color="FFFFFF"/>
          <w:insideV w:val="single" w:sz="18" w:space="0" w:color="FFFFFF"/>
        </w:tblBorders>
        <w:tblLayout w:type="fixed"/>
        <w:tblLook w:val="04A0" w:firstRow="1" w:lastRow="0" w:firstColumn="1" w:lastColumn="0" w:noHBand="0" w:noVBand="1"/>
      </w:tblPr>
      <w:tblGrid>
        <w:gridCol w:w="5245"/>
        <w:gridCol w:w="1843"/>
        <w:gridCol w:w="1559"/>
      </w:tblGrid>
      <w:tr w:rsidR="00263206" w:rsidRPr="00854306" w:rsidTr="00263206">
        <w:tc>
          <w:tcPr>
            <w:tcW w:w="5245" w:type="dxa"/>
            <w:tcBorders>
              <w:top w:val="nil"/>
              <w:left w:val="nil"/>
              <w:bottom w:val="single" w:sz="18" w:space="0" w:color="FFFFFF"/>
              <w:right w:val="single" w:sz="18" w:space="0" w:color="FFFFFF"/>
            </w:tcBorders>
            <w:shd w:val="pct20" w:color="000000" w:fill="FFFFFF"/>
            <w:vAlign w:val="center"/>
            <w:hideMark/>
          </w:tcPr>
          <w:p w:rsidR="00263206" w:rsidRPr="00854306" w:rsidRDefault="00263206" w:rsidP="00263206">
            <w:pPr>
              <w:spacing w:line="276" w:lineRule="auto"/>
              <w:ind w:left="426"/>
              <w:jc w:val="right"/>
              <w:rPr>
                <w:rFonts w:cs="Arial"/>
                <w:b/>
                <w:bCs/>
                <w:iCs/>
                <w:sz w:val="20"/>
                <w:lang w:val="en-US"/>
              </w:rPr>
            </w:pPr>
          </w:p>
          <w:p w:rsidR="00645FE9" w:rsidRPr="00B7769B" w:rsidRDefault="00645FE9" w:rsidP="00263206">
            <w:pPr>
              <w:spacing w:line="276" w:lineRule="auto"/>
              <w:ind w:left="426"/>
              <w:rPr>
                <w:rFonts w:cs="Arial"/>
                <w:b/>
                <w:bCs/>
                <w:iCs/>
                <w:sz w:val="20"/>
                <w:lang w:val="en-US"/>
              </w:rPr>
            </w:pPr>
            <w:r w:rsidRPr="00B7769B">
              <w:rPr>
                <w:rFonts w:cs="Arial"/>
                <w:b/>
                <w:bCs/>
                <w:iCs/>
                <w:sz w:val="20"/>
                <w:lang w:val="en-US"/>
              </w:rPr>
              <w:t>LARGEST SHAREHOLDERS</w:t>
            </w:r>
            <w:r w:rsidR="00263206" w:rsidRPr="00B7769B">
              <w:rPr>
                <w:rFonts w:cs="Arial"/>
                <w:b/>
                <w:bCs/>
                <w:iCs/>
                <w:sz w:val="20"/>
                <w:lang w:val="en-US"/>
              </w:rPr>
              <w:t xml:space="preserve"> </w:t>
            </w:r>
          </w:p>
          <w:p w:rsidR="00076D0F" w:rsidRPr="00B7769B" w:rsidRDefault="00263206" w:rsidP="00263206">
            <w:pPr>
              <w:spacing w:line="276" w:lineRule="auto"/>
              <w:ind w:left="426"/>
              <w:rPr>
                <w:rFonts w:cs="Arial"/>
                <w:b/>
                <w:bCs/>
                <w:iCs/>
                <w:sz w:val="20"/>
                <w:lang w:val="en-US"/>
              </w:rPr>
            </w:pPr>
            <w:r w:rsidRPr="00B7769B">
              <w:rPr>
                <w:rFonts w:cs="Arial"/>
                <w:b/>
                <w:bCs/>
                <w:iCs/>
                <w:sz w:val="20"/>
                <w:lang w:val="en-US"/>
              </w:rPr>
              <w:t xml:space="preserve">on </w:t>
            </w:r>
            <w:r w:rsidR="00751DCF" w:rsidRPr="00B7769B">
              <w:rPr>
                <w:rFonts w:cs="Arial"/>
                <w:b/>
                <w:bCs/>
                <w:iCs/>
                <w:sz w:val="20"/>
                <w:lang w:val="en-US"/>
              </w:rPr>
              <w:t>30 June 2015</w:t>
            </w:r>
          </w:p>
          <w:p w:rsidR="00263206" w:rsidRPr="00B7769B" w:rsidRDefault="00263206" w:rsidP="00263206">
            <w:pPr>
              <w:spacing w:line="276" w:lineRule="auto"/>
              <w:ind w:left="426"/>
              <w:rPr>
                <w:rFonts w:cs="Arial"/>
                <w:b/>
                <w:bCs/>
                <w:iCs/>
                <w:sz w:val="20"/>
                <w:lang w:val="en-US"/>
              </w:rPr>
            </w:pPr>
            <w:r w:rsidRPr="00B7769B">
              <w:rPr>
                <w:rFonts w:cs="Arial"/>
                <w:b/>
                <w:bCs/>
                <w:iCs/>
                <w:sz w:val="20"/>
                <w:lang w:val="en-US"/>
              </w:rPr>
              <w:t xml:space="preserve"> </w:t>
            </w:r>
          </w:p>
          <w:p w:rsidR="00263206" w:rsidRPr="00B7769B" w:rsidRDefault="00263206" w:rsidP="00263206">
            <w:pPr>
              <w:spacing w:line="276" w:lineRule="auto"/>
              <w:ind w:left="426"/>
              <w:rPr>
                <w:rFonts w:cs="Arial"/>
                <w:b/>
                <w:bCs/>
                <w:iCs/>
                <w:sz w:val="20"/>
                <w:lang w:val="en-US"/>
              </w:rPr>
            </w:pPr>
          </w:p>
        </w:tc>
        <w:tc>
          <w:tcPr>
            <w:tcW w:w="1843" w:type="dxa"/>
            <w:tcBorders>
              <w:top w:val="nil"/>
              <w:left w:val="single" w:sz="18" w:space="0" w:color="FFFFFF"/>
              <w:bottom w:val="single" w:sz="18" w:space="0" w:color="FFFFFF"/>
              <w:right w:val="single" w:sz="18" w:space="0" w:color="FFFFFF"/>
            </w:tcBorders>
            <w:shd w:val="pct20" w:color="000000" w:fill="FFFFFF"/>
            <w:vAlign w:val="center"/>
            <w:hideMark/>
          </w:tcPr>
          <w:p w:rsidR="00263206" w:rsidRPr="00B7769B" w:rsidRDefault="00263206" w:rsidP="00263206">
            <w:pPr>
              <w:spacing w:line="276" w:lineRule="auto"/>
              <w:ind w:left="426"/>
              <w:jc w:val="right"/>
              <w:rPr>
                <w:rFonts w:cs="Arial"/>
                <w:b/>
                <w:bCs/>
                <w:iCs/>
                <w:sz w:val="20"/>
                <w:lang w:val="en-US"/>
              </w:rPr>
            </w:pPr>
          </w:p>
          <w:p w:rsidR="00263206" w:rsidRPr="00B7769B" w:rsidRDefault="00263206" w:rsidP="00263206">
            <w:pPr>
              <w:spacing w:line="276" w:lineRule="auto"/>
              <w:ind w:left="426"/>
              <w:jc w:val="right"/>
              <w:rPr>
                <w:rFonts w:cs="Arial"/>
                <w:b/>
                <w:bCs/>
                <w:iCs/>
                <w:sz w:val="20"/>
                <w:lang w:val="en-US"/>
              </w:rPr>
            </w:pPr>
            <w:r w:rsidRPr="00B7769B">
              <w:rPr>
                <w:rFonts w:cs="Arial"/>
                <w:b/>
                <w:bCs/>
                <w:iCs/>
                <w:sz w:val="20"/>
                <w:lang w:val="en-US"/>
              </w:rPr>
              <w:t>Shares, pcs</w:t>
            </w:r>
          </w:p>
          <w:p w:rsidR="00263206" w:rsidRPr="00B7769B" w:rsidRDefault="00263206" w:rsidP="00263206">
            <w:pPr>
              <w:spacing w:line="276" w:lineRule="auto"/>
              <w:ind w:left="426"/>
              <w:jc w:val="right"/>
              <w:rPr>
                <w:rFonts w:cs="Arial"/>
                <w:b/>
                <w:bCs/>
                <w:iCs/>
                <w:sz w:val="20"/>
                <w:lang w:val="en-US"/>
              </w:rPr>
            </w:pPr>
          </w:p>
        </w:tc>
        <w:tc>
          <w:tcPr>
            <w:tcW w:w="1559" w:type="dxa"/>
            <w:tcBorders>
              <w:top w:val="nil"/>
              <w:left w:val="single" w:sz="18" w:space="0" w:color="FFFFFF"/>
              <w:bottom w:val="single" w:sz="18" w:space="0" w:color="FFFFFF"/>
              <w:right w:val="nil"/>
            </w:tcBorders>
            <w:shd w:val="pct20" w:color="000000" w:fill="FFFFFF"/>
            <w:vAlign w:val="center"/>
            <w:hideMark/>
          </w:tcPr>
          <w:p w:rsidR="00263206" w:rsidRPr="00B7769B" w:rsidRDefault="00263206" w:rsidP="00263206">
            <w:pPr>
              <w:spacing w:line="276" w:lineRule="auto"/>
              <w:ind w:left="426"/>
              <w:jc w:val="right"/>
              <w:rPr>
                <w:rFonts w:cs="Arial"/>
                <w:b/>
                <w:bCs/>
                <w:iCs/>
                <w:sz w:val="20"/>
                <w:lang w:val="en-US"/>
              </w:rPr>
            </w:pPr>
          </w:p>
          <w:p w:rsidR="00263206" w:rsidRPr="00B7769B" w:rsidRDefault="00263206" w:rsidP="00263206">
            <w:pPr>
              <w:spacing w:line="276" w:lineRule="auto"/>
              <w:jc w:val="right"/>
              <w:rPr>
                <w:rFonts w:cs="Arial"/>
                <w:b/>
                <w:bCs/>
                <w:iCs/>
                <w:sz w:val="20"/>
                <w:lang w:val="en-US"/>
              </w:rPr>
            </w:pPr>
            <w:r w:rsidRPr="00B7769B">
              <w:rPr>
                <w:rFonts w:cs="Arial"/>
                <w:b/>
                <w:bCs/>
                <w:iCs/>
                <w:sz w:val="20"/>
                <w:lang w:val="en-US"/>
              </w:rPr>
              <w:t>Holding, %</w:t>
            </w:r>
          </w:p>
          <w:p w:rsidR="00263206" w:rsidRPr="00B7769B" w:rsidRDefault="00263206" w:rsidP="00263206">
            <w:pPr>
              <w:spacing w:line="276" w:lineRule="auto"/>
              <w:ind w:left="426"/>
              <w:jc w:val="right"/>
              <w:rPr>
                <w:rFonts w:cs="Arial"/>
                <w:b/>
                <w:bCs/>
                <w:iCs/>
                <w:sz w:val="20"/>
                <w:lang w:val="en-US"/>
              </w:rPr>
            </w:pPr>
          </w:p>
        </w:tc>
      </w:tr>
      <w:tr w:rsidR="00076D0F" w:rsidRPr="00854306" w:rsidTr="00263206">
        <w:trPr>
          <w:trHeight w:val="263"/>
        </w:trPr>
        <w:tc>
          <w:tcPr>
            <w:tcW w:w="5245" w:type="dxa"/>
            <w:tcBorders>
              <w:top w:val="single" w:sz="18" w:space="0" w:color="FFFFFF"/>
              <w:left w:val="nil"/>
              <w:bottom w:val="single" w:sz="18" w:space="0" w:color="FFFFFF"/>
              <w:right w:val="single" w:sz="18" w:space="0" w:color="FFFFFF"/>
            </w:tcBorders>
            <w:shd w:val="pct5" w:color="000000" w:fill="FFFFFF"/>
            <w:vAlign w:val="center"/>
            <w:hideMark/>
          </w:tcPr>
          <w:p w:rsidR="00076D0F" w:rsidRPr="00854306" w:rsidRDefault="00076D0F" w:rsidP="00076D0F">
            <w:pPr>
              <w:ind w:left="426"/>
              <w:rPr>
                <w:rFonts w:cs="Arial"/>
                <w:color w:val="000000"/>
                <w:sz w:val="20"/>
                <w:lang w:val="en-US"/>
              </w:rPr>
            </w:pPr>
            <w:r w:rsidRPr="00854306">
              <w:rPr>
                <w:rFonts w:cs="Arial"/>
                <w:color w:val="000000"/>
                <w:sz w:val="20"/>
                <w:lang w:val="en-US"/>
              </w:rPr>
              <w:t>Inission AB (nominee-registered)</w:t>
            </w:r>
          </w:p>
        </w:tc>
        <w:tc>
          <w:tcPr>
            <w:tcW w:w="184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076D0F" w:rsidRPr="00B7769B" w:rsidRDefault="00076D0F" w:rsidP="00076D0F">
            <w:pPr>
              <w:ind w:left="426"/>
              <w:jc w:val="right"/>
              <w:rPr>
                <w:rFonts w:cs="Arial"/>
                <w:color w:val="000000"/>
                <w:sz w:val="20"/>
                <w:szCs w:val="20"/>
                <w:lang w:val="en-US"/>
              </w:rPr>
            </w:pPr>
            <w:r w:rsidRPr="00B7769B">
              <w:rPr>
                <w:rFonts w:cs="Arial"/>
                <w:color w:val="000000"/>
                <w:sz w:val="20"/>
                <w:szCs w:val="20"/>
                <w:lang w:val="en-US"/>
              </w:rPr>
              <w:t xml:space="preserve">90,490,452 </w:t>
            </w:r>
          </w:p>
        </w:tc>
        <w:tc>
          <w:tcPr>
            <w:tcW w:w="1559" w:type="dxa"/>
            <w:tcBorders>
              <w:top w:val="single" w:sz="18" w:space="0" w:color="FFFFFF"/>
              <w:left w:val="single" w:sz="18" w:space="0" w:color="FFFFFF"/>
              <w:bottom w:val="single" w:sz="18" w:space="0" w:color="FFFFFF"/>
              <w:right w:val="nil"/>
            </w:tcBorders>
            <w:shd w:val="pct5" w:color="000000" w:fill="FFFFFF"/>
            <w:vAlign w:val="center"/>
            <w:hideMark/>
          </w:tcPr>
          <w:p w:rsidR="00076D0F" w:rsidRPr="00A44DC6" w:rsidRDefault="00076D0F" w:rsidP="00CF3D7D">
            <w:pPr>
              <w:ind w:left="426"/>
              <w:jc w:val="right"/>
              <w:rPr>
                <w:rFonts w:cs="Arial"/>
                <w:color w:val="000000"/>
                <w:sz w:val="20"/>
                <w:szCs w:val="20"/>
                <w:lang w:val="fi-FI"/>
              </w:rPr>
            </w:pPr>
            <w:r w:rsidRPr="00B7769B">
              <w:rPr>
                <w:rFonts w:cs="Arial"/>
                <w:color w:val="000000"/>
                <w:sz w:val="20"/>
                <w:szCs w:val="20"/>
                <w:lang w:val="en-US"/>
              </w:rPr>
              <w:t>4</w:t>
            </w:r>
            <w:r>
              <w:rPr>
                <w:rFonts w:cs="Arial"/>
                <w:color w:val="000000"/>
                <w:sz w:val="20"/>
                <w:szCs w:val="20"/>
                <w:lang w:val="fi-FI"/>
              </w:rPr>
              <w:t>1.5</w:t>
            </w:r>
          </w:p>
        </w:tc>
      </w:tr>
      <w:tr w:rsidR="00076D0F" w:rsidRPr="00854306" w:rsidTr="00CF3D7D">
        <w:trPr>
          <w:trHeight w:val="263"/>
        </w:trPr>
        <w:tc>
          <w:tcPr>
            <w:tcW w:w="5245" w:type="dxa"/>
            <w:tcBorders>
              <w:top w:val="single" w:sz="18" w:space="0" w:color="FFFFFF"/>
              <w:left w:val="nil"/>
              <w:bottom w:val="single" w:sz="18" w:space="0" w:color="FFFFFF"/>
              <w:right w:val="single" w:sz="18" w:space="0" w:color="FFFFFF"/>
            </w:tcBorders>
            <w:shd w:val="pct20" w:color="000000" w:fill="FFFFFF"/>
            <w:vAlign w:val="center"/>
            <w:hideMark/>
          </w:tcPr>
          <w:p w:rsidR="00076D0F" w:rsidRPr="00854306" w:rsidRDefault="00076D0F" w:rsidP="00263206">
            <w:pPr>
              <w:ind w:left="426"/>
              <w:rPr>
                <w:rFonts w:cs="Arial"/>
                <w:color w:val="000000"/>
                <w:sz w:val="20"/>
              </w:rPr>
            </w:pPr>
            <w:proofErr w:type="spellStart"/>
            <w:r w:rsidRPr="00854306">
              <w:rPr>
                <w:rFonts w:cs="Arial"/>
                <w:color w:val="000000"/>
                <w:sz w:val="20"/>
              </w:rPr>
              <w:t>Oy</w:t>
            </w:r>
            <w:proofErr w:type="spellEnd"/>
            <w:r w:rsidRPr="00854306">
              <w:rPr>
                <w:rFonts w:cs="Arial"/>
                <w:color w:val="000000"/>
                <w:sz w:val="20"/>
              </w:rPr>
              <w:t xml:space="preserve"> </w:t>
            </w:r>
            <w:proofErr w:type="spellStart"/>
            <w:r w:rsidRPr="00854306">
              <w:rPr>
                <w:rFonts w:cs="Arial"/>
                <w:color w:val="000000"/>
                <w:sz w:val="20"/>
              </w:rPr>
              <w:t>Etra</w:t>
            </w:r>
            <w:proofErr w:type="spellEnd"/>
            <w:r w:rsidRPr="00854306">
              <w:rPr>
                <w:rFonts w:cs="Arial"/>
                <w:color w:val="000000"/>
                <w:sz w:val="20"/>
              </w:rPr>
              <w:t xml:space="preserve"> Invest Ab</w:t>
            </w:r>
          </w:p>
        </w:tc>
        <w:tc>
          <w:tcPr>
            <w:tcW w:w="1843" w:type="dxa"/>
            <w:tcBorders>
              <w:top w:val="single" w:sz="18" w:space="0" w:color="FFFFFF"/>
              <w:left w:val="single" w:sz="18" w:space="0" w:color="FFFFFF"/>
              <w:bottom w:val="single" w:sz="18" w:space="0" w:color="FFFFFF"/>
              <w:right w:val="single" w:sz="18" w:space="0" w:color="FFFFFF"/>
            </w:tcBorders>
            <w:shd w:val="pct20" w:color="000000" w:fill="FFFFFF"/>
            <w:vAlign w:val="bottom"/>
            <w:hideMark/>
          </w:tcPr>
          <w:p w:rsidR="00076D0F" w:rsidRDefault="00076D0F" w:rsidP="00CF3D7D">
            <w:pPr>
              <w:jc w:val="right"/>
              <w:rPr>
                <w:rFonts w:cs="Arial"/>
                <w:sz w:val="20"/>
                <w:szCs w:val="20"/>
              </w:rPr>
            </w:pPr>
            <w:r>
              <w:rPr>
                <w:rFonts w:cs="Arial"/>
                <w:sz w:val="20"/>
                <w:szCs w:val="20"/>
              </w:rPr>
              <w:t>34,379,891</w:t>
            </w:r>
          </w:p>
        </w:tc>
        <w:tc>
          <w:tcPr>
            <w:tcW w:w="1559" w:type="dxa"/>
            <w:tcBorders>
              <w:top w:val="single" w:sz="18" w:space="0" w:color="FFFFFF"/>
              <w:left w:val="single" w:sz="18" w:space="0" w:color="FFFFFF"/>
              <w:bottom w:val="single" w:sz="18" w:space="0" w:color="FFFFFF"/>
              <w:right w:val="nil"/>
            </w:tcBorders>
            <w:shd w:val="pct20" w:color="000000" w:fill="FFFFFF"/>
            <w:vAlign w:val="bottom"/>
            <w:hideMark/>
          </w:tcPr>
          <w:p w:rsidR="00076D0F" w:rsidRDefault="00076D0F" w:rsidP="00CF3D7D">
            <w:pPr>
              <w:jc w:val="right"/>
              <w:rPr>
                <w:rFonts w:cs="Arial"/>
                <w:sz w:val="20"/>
                <w:szCs w:val="20"/>
              </w:rPr>
            </w:pPr>
            <w:r>
              <w:rPr>
                <w:rFonts w:cs="Arial"/>
                <w:sz w:val="20"/>
                <w:szCs w:val="20"/>
              </w:rPr>
              <w:t>15.8</w:t>
            </w:r>
          </w:p>
        </w:tc>
      </w:tr>
      <w:tr w:rsidR="00076D0F" w:rsidRPr="00854306" w:rsidTr="00CF3D7D">
        <w:trPr>
          <w:trHeight w:val="263"/>
        </w:trPr>
        <w:tc>
          <w:tcPr>
            <w:tcW w:w="5245" w:type="dxa"/>
            <w:tcBorders>
              <w:top w:val="single" w:sz="18" w:space="0" w:color="FFFFFF"/>
              <w:left w:val="nil"/>
              <w:bottom w:val="single" w:sz="18" w:space="0" w:color="FFFFFF"/>
              <w:right w:val="single" w:sz="18" w:space="0" w:color="FFFFFF"/>
            </w:tcBorders>
            <w:shd w:val="pct20" w:color="000000" w:fill="FFFFFF"/>
            <w:vAlign w:val="center"/>
            <w:hideMark/>
          </w:tcPr>
          <w:p w:rsidR="00076D0F" w:rsidRPr="00854306" w:rsidRDefault="00076D0F" w:rsidP="00263206">
            <w:pPr>
              <w:ind w:left="426"/>
              <w:rPr>
                <w:rFonts w:cs="Arial"/>
                <w:color w:val="000000"/>
                <w:sz w:val="20"/>
              </w:rPr>
            </w:pPr>
            <w:proofErr w:type="spellStart"/>
            <w:r w:rsidRPr="00854306">
              <w:rPr>
                <w:rFonts w:cs="Arial"/>
                <w:color w:val="000000"/>
                <w:sz w:val="20"/>
              </w:rPr>
              <w:t>Ilmarinen</w:t>
            </w:r>
            <w:proofErr w:type="spellEnd"/>
            <w:r w:rsidRPr="00854306">
              <w:rPr>
                <w:rFonts w:cs="Arial"/>
                <w:color w:val="000000"/>
                <w:sz w:val="20"/>
              </w:rPr>
              <w:t xml:space="preserve"> Mutual Pension Insurance Company</w:t>
            </w:r>
          </w:p>
        </w:tc>
        <w:tc>
          <w:tcPr>
            <w:tcW w:w="1843" w:type="dxa"/>
            <w:tcBorders>
              <w:top w:val="single" w:sz="18" w:space="0" w:color="FFFFFF"/>
              <w:left w:val="single" w:sz="18" w:space="0" w:color="FFFFFF"/>
              <w:bottom w:val="single" w:sz="18" w:space="0" w:color="FFFFFF"/>
              <w:right w:val="single" w:sz="18" w:space="0" w:color="FFFFFF"/>
            </w:tcBorders>
            <w:shd w:val="pct20" w:color="000000" w:fill="FFFFFF"/>
            <w:vAlign w:val="bottom"/>
            <w:hideMark/>
          </w:tcPr>
          <w:p w:rsidR="00076D0F" w:rsidRDefault="00076D0F" w:rsidP="00CF3D7D">
            <w:pPr>
              <w:jc w:val="right"/>
              <w:rPr>
                <w:rFonts w:cs="Arial"/>
                <w:sz w:val="20"/>
                <w:szCs w:val="20"/>
              </w:rPr>
            </w:pPr>
            <w:r>
              <w:rPr>
                <w:rFonts w:cs="Arial"/>
                <w:sz w:val="20"/>
                <w:szCs w:val="20"/>
              </w:rPr>
              <w:t>16,615,384</w:t>
            </w:r>
          </w:p>
        </w:tc>
        <w:tc>
          <w:tcPr>
            <w:tcW w:w="1559" w:type="dxa"/>
            <w:tcBorders>
              <w:top w:val="single" w:sz="18" w:space="0" w:color="FFFFFF"/>
              <w:left w:val="single" w:sz="18" w:space="0" w:color="FFFFFF"/>
              <w:bottom w:val="single" w:sz="18" w:space="0" w:color="FFFFFF"/>
              <w:right w:val="nil"/>
            </w:tcBorders>
            <w:shd w:val="pct20" w:color="000000" w:fill="FFFFFF"/>
            <w:vAlign w:val="bottom"/>
            <w:hideMark/>
          </w:tcPr>
          <w:p w:rsidR="00076D0F" w:rsidRDefault="00076D0F" w:rsidP="00CF3D7D">
            <w:pPr>
              <w:jc w:val="right"/>
              <w:rPr>
                <w:rFonts w:cs="Arial"/>
                <w:sz w:val="20"/>
                <w:szCs w:val="20"/>
              </w:rPr>
            </w:pPr>
            <w:r>
              <w:rPr>
                <w:rFonts w:cs="Arial"/>
                <w:sz w:val="20"/>
                <w:szCs w:val="20"/>
              </w:rPr>
              <w:t>7.6</w:t>
            </w:r>
          </w:p>
        </w:tc>
      </w:tr>
      <w:tr w:rsidR="00076D0F" w:rsidRPr="00854306" w:rsidTr="00CF3D7D">
        <w:trPr>
          <w:trHeight w:val="263"/>
        </w:trPr>
        <w:tc>
          <w:tcPr>
            <w:tcW w:w="5245" w:type="dxa"/>
            <w:tcBorders>
              <w:top w:val="single" w:sz="18" w:space="0" w:color="FFFFFF"/>
              <w:left w:val="nil"/>
              <w:bottom w:val="single" w:sz="18" w:space="0" w:color="FFFFFF"/>
              <w:right w:val="single" w:sz="18" w:space="0" w:color="FFFFFF"/>
            </w:tcBorders>
            <w:shd w:val="pct5" w:color="000000" w:fill="FFFFFF"/>
            <w:vAlign w:val="center"/>
            <w:hideMark/>
          </w:tcPr>
          <w:p w:rsidR="00076D0F" w:rsidRPr="00854306" w:rsidRDefault="00076D0F" w:rsidP="00263206">
            <w:pPr>
              <w:ind w:left="426"/>
              <w:rPr>
                <w:rFonts w:cs="Arial"/>
                <w:color w:val="000000"/>
                <w:sz w:val="20"/>
              </w:rPr>
            </w:pPr>
            <w:proofErr w:type="spellStart"/>
            <w:r w:rsidRPr="00854306">
              <w:rPr>
                <w:rFonts w:cs="Arial"/>
                <w:color w:val="000000"/>
                <w:sz w:val="20"/>
              </w:rPr>
              <w:t>Onvest</w:t>
            </w:r>
            <w:proofErr w:type="spellEnd"/>
            <w:r w:rsidRPr="00854306">
              <w:rPr>
                <w:rFonts w:cs="Arial"/>
                <w:color w:val="000000"/>
                <w:sz w:val="20"/>
              </w:rPr>
              <w:t xml:space="preserve"> </w:t>
            </w:r>
            <w:proofErr w:type="spellStart"/>
            <w:r w:rsidRPr="00854306">
              <w:rPr>
                <w:rFonts w:cs="Arial"/>
                <w:color w:val="000000"/>
                <w:sz w:val="20"/>
              </w:rPr>
              <w:t>Oy</w:t>
            </w:r>
            <w:proofErr w:type="spellEnd"/>
          </w:p>
        </w:tc>
        <w:tc>
          <w:tcPr>
            <w:tcW w:w="1843" w:type="dxa"/>
            <w:tcBorders>
              <w:top w:val="single" w:sz="18" w:space="0" w:color="FFFFFF"/>
              <w:left w:val="single" w:sz="18" w:space="0" w:color="FFFFFF"/>
              <w:bottom w:val="single" w:sz="18" w:space="0" w:color="FFFFFF"/>
              <w:right w:val="single" w:sz="18" w:space="0" w:color="FFFFFF"/>
            </w:tcBorders>
            <w:shd w:val="pct5" w:color="000000" w:fill="FFFFFF"/>
            <w:vAlign w:val="bottom"/>
            <w:hideMark/>
          </w:tcPr>
          <w:p w:rsidR="00076D0F" w:rsidRDefault="00076D0F" w:rsidP="00CF3D7D">
            <w:pPr>
              <w:jc w:val="right"/>
              <w:rPr>
                <w:rFonts w:cs="Arial"/>
                <w:sz w:val="20"/>
                <w:szCs w:val="20"/>
              </w:rPr>
            </w:pPr>
            <w:r>
              <w:rPr>
                <w:rFonts w:cs="Arial"/>
                <w:sz w:val="20"/>
                <w:szCs w:val="20"/>
              </w:rPr>
              <w:t>5,002,945</w:t>
            </w:r>
          </w:p>
        </w:tc>
        <w:tc>
          <w:tcPr>
            <w:tcW w:w="1559" w:type="dxa"/>
            <w:tcBorders>
              <w:top w:val="single" w:sz="18" w:space="0" w:color="FFFFFF"/>
              <w:left w:val="single" w:sz="18" w:space="0" w:color="FFFFFF"/>
              <w:bottom w:val="single" w:sz="18" w:space="0" w:color="FFFFFF"/>
              <w:right w:val="nil"/>
            </w:tcBorders>
            <w:shd w:val="pct5" w:color="000000" w:fill="FFFFFF"/>
            <w:vAlign w:val="bottom"/>
            <w:hideMark/>
          </w:tcPr>
          <w:p w:rsidR="00076D0F" w:rsidRDefault="00076D0F" w:rsidP="00CF3D7D">
            <w:pPr>
              <w:jc w:val="right"/>
              <w:rPr>
                <w:rFonts w:cs="Arial"/>
                <w:sz w:val="20"/>
                <w:szCs w:val="20"/>
              </w:rPr>
            </w:pPr>
            <w:r>
              <w:rPr>
                <w:rFonts w:cs="Arial"/>
                <w:sz w:val="20"/>
                <w:szCs w:val="20"/>
              </w:rPr>
              <w:t>2.3</w:t>
            </w:r>
          </w:p>
        </w:tc>
      </w:tr>
      <w:tr w:rsidR="00076D0F" w:rsidRPr="00854306" w:rsidTr="00CF3D7D">
        <w:trPr>
          <w:trHeight w:val="263"/>
        </w:trPr>
        <w:tc>
          <w:tcPr>
            <w:tcW w:w="5245" w:type="dxa"/>
            <w:tcBorders>
              <w:top w:val="single" w:sz="18" w:space="0" w:color="FFFFFF"/>
              <w:left w:val="nil"/>
              <w:bottom w:val="single" w:sz="18" w:space="0" w:color="FFFFFF"/>
              <w:right w:val="single" w:sz="18" w:space="0" w:color="FFFFFF"/>
            </w:tcBorders>
            <w:shd w:val="pct5" w:color="000000" w:fill="FFFFFF"/>
            <w:vAlign w:val="center"/>
            <w:hideMark/>
          </w:tcPr>
          <w:p w:rsidR="00076D0F" w:rsidRPr="00854306" w:rsidRDefault="00076D0F" w:rsidP="00263206">
            <w:pPr>
              <w:ind w:left="426"/>
              <w:rPr>
                <w:rFonts w:cs="Arial"/>
                <w:color w:val="000000"/>
                <w:sz w:val="20"/>
              </w:rPr>
            </w:pPr>
            <w:proofErr w:type="spellStart"/>
            <w:r w:rsidRPr="00854306">
              <w:rPr>
                <w:rFonts w:cs="Arial"/>
                <w:color w:val="000000"/>
                <w:sz w:val="20"/>
              </w:rPr>
              <w:t>Laurila</w:t>
            </w:r>
            <w:proofErr w:type="spellEnd"/>
            <w:r w:rsidRPr="00854306">
              <w:rPr>
                <w:rFonts w:cs="Arial"/>
                <w:color w:val="000000"/>
                <w:sz w:val="20"/>
              </w:rPr>
              <w:t xml:space="preserve"> </w:t>
            </w:r>
            <w:proofErr w:type="spellStart"/>
            <w:r w:rsidRPr="00854306">
              <w:rPr>
                <w:rFonts w:cs="Arial"/>
                <w:color w:val="000000"/>
                <w:sz w:val="20"/>
              </w:rPr>
              <w:t>Kalevi</w:t>
            </w:r>
            <w:proofErr w:type="spellEnd"/>
            <w:r w:rsidRPr="00854306">
              <w:rPr>
                <w:rFonts w:cs="Arial"/>
                <w:color w:val="000000"/>
                <w:sz w:val="20"/>
              </w:rPr>
              <w:t xml:space="preserve"> </w:t>
            </w:r>
            <w:r>
              <w:rPr>
                <w:rFonts w:cs="Arial"/>
                <w:color w:val="000000"/>
                <w:sz w:val="20"/>
              </w:rPr>
              <w:t>Henrik</w:t>
            </w:r>
          </w:p>
        </w:tc>
        <w:tc>
          <w:tcPr>
            <w:tcW w:w="1843" w:type="dxa"/>
            <w:tcBorders>
              <w:top w:val="single" w:sz="18" w:space="0" w:color="FFFFFF"/>
              <w:left w:val="single" w:sz="18" w:space="0" w:color="FFFFFF"/>
              <w:bottom w:val="single" w:sz="18" w:space="0" w:color="FFFFFF"/>
              <w:right w:val="single" w:sz="18" w:space="0" w:color="FFFFFF"/>
            </w:tcBorders>
            <w:shd w:val="pct5" w:color="000000" w:fill="FFFFFF"/>
            <w:vAlign w:val="bottom"/>
            <w:hideMark/>
          </w:tcPr>
          <w:p w:rsidR="00076D0F" w:rsidRDefault="00076D0F" w:rsidP="00CF3D7D">
            <w:pPr>
              <w:jc w:val="right"/>
              <w:rPr>
                <w:rFonts w:cs="Arial"/>
                <w:sz w:val="20"/>
                <w:szCs w:val="20"/>
              </w:rPr>
            </w:pPr>
            <w:r>
              <w:rPr>
                <w:rFonts w:cs="Arial"/>
                <w:sz w:val="20"/>
                <w:szCs w:val="20"/>
              </w:rPr>
              <w:t>4,470,858</w:t>
            </w:r>
          </w:p>
        </w:tc>
        <w:tc>
          <w:tcPr>
            <w:tcW w:w="1559" w:type="dxa"/>
            <w:tcBorders>
              <w:top w:val="single" w:sz="18" w:space="0" w:color="FFFFFF"/>
              <w:left w:val="single" w:sz="18" w:space="0" w:color="FFFFFF"/>
              <w:bottom w:val="single" w:sz="18" w:space="0" w:color="FFFFFF"/>
              <w:right w:val="nil"/>
            </w:tcBorders>
            <w:shd w:val="pct5" w:color="000000" w:fill="FFFFFF"/>
            <w:vAlign w:val="bottom"/>
            <w:hideMark/>
          </w:tcPr>
          <w:p w:rsidR="00076D0F" w:rsidRDefault="00076D0F" w:rsidP="00CF3D7D">
            <w:pPr>
              <w:jc w:val="right"/>
              <w:rPr>
                <w:rFonts w:cs="Arial"/>
                <w:sz w:val="20"/>
                <w:szCs w:val="20"/>
              </w:rPr>
            </w:pPr>
            <w:r>
              <w:rPr>
                <w:rFonts w:cs="Arial"/>
                <w:sz w:val="20"/>
                <w:szCs w:val="20"/>
              </w:rPr>
              <w:t>2.1</w:t>
            </w:r>
          </w:p>
        </w:tc>
      </w:tr>
      <w:tr w:rsidR="00076D0F" w:rsidRPr="00854306" w:rsidTr="00CF3D7D">
        <w:trPr>
          <w:trHeight w:val="263"/>
        </w:trPr>
        <w:tc>
          <w:tcPr>
            <w:tcW w:w="5245" w:type="dxa"/>
            <w:tcBorders>
              <w:top w:val="single" w:sz="18" w:space="0" w:color="FFFFFF"/>
              <w:left w:val="nil"/>
              <w:bottom w:val="single" w:sz="18" w:space="0" w:color="FFFFFF"/>
              <w:right w:val="single" w:sz="18" w:space="0" w:color="FFFFFF"/>
            </w:tcBorders>
            <w:shd w:val="pct20" w:color="000000" w:fill="FFFFFF"/>
            <w:vAlign w:val="center"/>
            <w:hideMark/>
          </w:tcPr>
          <w:p w:rsidR="00076D0F" w:rsidRPr="00854306" w:rsidRDefault="00076D0F" w:rsidP="00263206">
            <w:pPr>
              <w:ind w:left="426"/>
              <w:rPr>
                <w:rFonts w:cs="Arial"/>
                <w:color w:val="000000"/>
                <w:sz w:val="20"/>
              </w:rPr>
            </w:pPr>
            <w:r w:rsidRPr="00854306">
              <w:rPr>
                <w:rFonts w:cs="Arial"/>
                <w:color w:val="000000"/>
                <w:sz w:val="20"/>
              </w:rPr>
              <w:t xml:space="preserve">JMC Finance </w:t>
            </w:r>
            <w:proofErr w:type="spellStart"/>
            <w:r w:rsidRPr="00854306">
              <w:rPr>
                <w:rFonts w:cs="Arial"/>
                <w:color w:val="000000"/>
                <w:sz w:val="20"/>
              </w:rPr>
              <w:t>Oy</w:t>
            </w:r>
            <w:proofErr w:type="spellEnd"/>
          </w:p>
        </w:tc>
        <w:tc>
          <w:tcPr>
            <w:tcW w:w="1843" w:type="dxa"/>
            <w:tcBorders>
              <w:top w:val="single" w:sz="18" w:space="0" w:color="FFFFFF"/>
              <w:left w:val="single" w:sz="18" w:space="0" w:color="FFFFFF"/>
              <w:bottom w:val="single" w:sz="18" w:space="0" w:color="FFFFFF"/>
              <w:right w:val="single" w:sz="18" w:space="0" w:color="FFFFFF"/>
            </w:tcBorders>
            <w:shd w:val="pct20" w:color="000000" w:fill="FFFFFF"/>
            <w:vAlign w:val="bottom"/>
            <w:hideMark/>
          </w:tcPr>
          <w:p w:rsidR="00076D0F" w:rsidRDefault="00076D0F" w:rsidP="00CF3D7D">
            <w:pPr>
              <w:jc w:val="right"/>
              <w:rPr>
                <w:rFonts w:cs="Arial"/>
                <w:sz w:val="20"/>
                <w:szCs w:val="20"/>
              </w:rPr>
            </w:pPr>
            <w:r>
              <w:rPr>
                <w:rFonts w:cs="Arial"/>
                <w:sz w:val="20"/>
                <w:szCs w:val="20"/>
              </w:rPr>
              <w:t>4,338,072</w:t>
            </w:r>
          </w:p>
        </w:tc>
        <w:tc>
          <w:tcPr>
            <w:tcW w:w="1559" w:type="dxa"/>
            <w:tcBorders>
              <w:top w:val="single" w:sz="18" w:space="0" w:color="FFFFFF"/>
              <w:left w:val="single" w:sz="18" w:space="0" w:color="FFFFFF"/>
              <w:bottom w:val="single" w:sz="18" w:space="0" w:color="FFFFFF"/>
              <w:right w:val="nil"/>
            </w:tcBorders>
            <w:shd w:val="pct20" w:color="000000" w:fill="FFFFFF"/>
            <w:vAlign w:val="bottom"/>
            <w:hideMark/>
          </w:tcPr>
          <w:p w:rsidR="00076D0F" w:rsidRDefault="00076D0F" w:rsidP="00CF3D7D">
            <w:pPr>
              <w:jc w:val="right"/>
              <w:rPr>
                <w:rFonts w:cs="Arial"/>
                <w:sz w:val="20"/>
                <w:szCs w:val="20"/>
              </w:rPr>
            </w:pPr>
            <w:r>
              <w:rPr>
                <w:rFonts w:cs="Arial"/>
                <w:sz w:val="20"/>
                <w:szCs w:val="20"/>
              </w:rPr>
              <w:t>2.0</w:t>
            </w:r>
          </w:p>
        </w:tc>
      </w:tr>
      <w:tr w:rsidR="00076D0F" w:rsidRPr="00854306" w:rsidTr="00CF3D7D">
        <w:trPr>
          <w:trHeight w:val="263"/>
        </w:trPr>
        <w:tc>
          <w:tcPr>
            <w:tcW w:w="5245" w:type="dxa"/>
            <w:tcBorders>
              <w:top w:val="single" w:sz="18" w:space="0" w:color="FFFFFF"/>
              <w:left w:val="nil"/>
              <w:bottom w:val="single" w:sz="18" w:space="0" w:color="FFFFFF"/>
              <w:right w:val="single" w:sz="18" w:space="0" w:color="FFFFFF"/>
            </w:tcBorders>
            <w:shd w:val="pct20" w:color="000000" w:fill="FFFFFF"/>
            <w:vAlign w:val="center"/>
          </w:tcPr>
          <w:p w:rsidR="00076D0F" w:rsidRPr="00854306" w:rsidRDefault="00076D0F" w:rsidP="00263206">
            <w:pPr>
              <w:ind w:left="426"/>
              <w:rPr>
                <w:rFonts w:cs="Arial"/>
                <w:color w:val="000000"/>
                <w:sz w:val="20"/>
              </w:rPr>
            </w:pPr>
            <w:proofErr w:type="spellStart"/>
            <w:r w:rsidRPr="00854306">
              <w:rPr>
                <w:rFonts w:cs="Arial"/>
                <w:color w:val="000000"/>
                <w:sz w:val="20"/>
              </w:rPr>
              <w:t>Mandatum</w:t>
            </w:r>
            <w:proofErr w:type="spellEnd"/>
            <w:r w:rsidRPr="00854306">
              <w:rPr>
                <w:rFonts w:cs="Arial"/>
                <w:color w:val="000000"/>
                <w:sz w:val="20"/>
              </w:rPr>
              <w:t xml:space="preserve"> Life Unit-linked</w:t>
            </w:r>
          </w:p>
        </w:tc>
        <w:tc>
          <w:tcPr>
            <w:tcW w:w="1843" w:type="dxa"/>
            <w:tcBorders>
              <w:top w:val="single" w:sz="18" w:space="0" w:color="FFFFFF"/>
              <w:left w:val="single" w:sz="18" w:space="0" w:color="FFFFFF"/>
              <w:bottom w:val="single" w:sz="18" w:space="0" w:color="FFFFFF"/>
              <w:right w:val="single" w:sz="18" w:space="0" w:color="FFFFFF"/>
            </w:tcBorders>
            <w:shd w:val="pct20" w:color="000000" w:fill="FFFFFF"/>
            <w:vAlign w:val="bottom"/>
          </w:tcPr>
          <w:p w:rsidR="00076D0F" w:rsidRDefault="00076D0F" w:rsidP="00CF3D7D">
            <w:pPr>
              <w:jc w:val="right"/>
              <w:rPr>
                <w:rFonts w:cs="Arial"/>
                <w:sz w:val="20"/>
                <w:szCs w:val="20"/>
              </w:rPr>
            </w:pPr>
            <w:r>
              <w:rPr>
                <w:rFonts w:cs="Arial"/>
                <w:sz w:val="20"/>
                <w:szCs w:val="20"/>
              </w:rPr>
              <w:t>3,654,292</w:t>
            </w:r>
          </w:p>
        </w:tc>
        <w:tc>
          <w:tcPr>
            <w:tcW w:w="1559" w:type="dxa"/>
            <w:tcBorders>
              <w:top w:val="single" w:sz="18" w:space="0" w:color="FFFFFF"/>
              <w:left w:val="single" w:sz="18" w:space="0" w:color="FFFFFF"/>
              <w:bottom w:val="single" w:sz="18" w:space="0" w:color="FFFFFF"/>
              <w:right w:val="nil"/>
            </w:tcBorders>
            <w:shd w:val="pct20" w:color="000000" w:fill="FFFFFF"/>
            <w:vAlign w:val="bottom"/>
          </w:tcPr>
          <w:p w:rsidR="00076D0F" w:rsidRDefault="00076D0F" w:rsidP="00CF3D7D">
            <w:pPr>
              <w:jc w:val="right"/>
              <w:rPr>
                <w:rFonts w:cs="Arial"/>
                <w:sz w:val="20"/>
                <w:szCs w:val="20"/>
              </w:rPr>
            </w:pPr>
            <w:r>
              <w:rPr>
                <w:rFonts w:cs="Arial"/>
                <w:sz w:val="20"/>
                <w:szCs w:val="20"/>
              </w:rPr>
              <w:t>1.7</w:t>
            </w:r>
          </w:p>
        </w:tc>
      </w:tr>
      <w:tr w:rsidR="00076D0F" w:rsidRPr="00854306" w:rsidTr="00CF3D7D">
        <w:trPr>
          <w:trHeight w:val="263"/>
        </w:trPr>
        <w:tc>
          <w:tcPr>
            <w:tcW w:w="5245" w:type="dxa"/>
            <w:tcBorders>
              <w:top w:val="single" w:sz="18" w:space="0" w:color="FFFFFF"/>
              <w:left w:val="nil"/>
              <w:bottom w:val="single" w:sz="18" w:space="0" w:color="FFFFFF"/>
              <w:right w:val="single" w:sz="18" w:space="0" w:color="FFFFFF"/>
            </w:tcBorders>
            <w:shd w:val="pct20" w:color="000000" w:fill="FFFFFF"/>
            <w:vAlign w:val="center"/>
          </w:tcPr>
          <w:p w:rsidR="00076D0F" w:rsidRPr="00854306" w:rsidRDefault="00076D0F" w:rsidP="00263206">
            <w:pPr>
              <w:ind w:left="426"/>
              <w:rPr>
                <w:rFonts w:cs="Arial"/>
                <w:color w:val="000000"/>
                <w:sz w:val="20"/>
              </w:rPr>
            </w:pPr>
            <w:proofErr w:type="spellStart"/>
            <w:r w:rsidRPr="00854306">
              <w:rPr>
                <w:rFonts w:cs="Arial"/>
                <w:color w:val="000000"/>
                <w:sz w:val="20"/>
              </w:rPr>
              <w:t>Hallqvist</w:t>
            </w:r>
            <w:proofErr w:type="spellEnd"/>
            <w:r w:rsidRPr="00854306">
              <w:rPr>
                <w:rFonts w:cs="Arial"/>
                <w:color w:val="000000"/>
                <w:sz w:val="20"/>
              </w:rPr>
              <w:t xml:space="preserve"> AB</w:t>
            </w:r>
          </w:p>
        </w:tc>
        <w:tc>
          <w:tcPr>
            <w:tcW w:w="1843" w:type="dxa"/>
            <w:tcBorders>
              <w:top w:val="single" w:sz="18" w:space="0" w:color="FFFFFF"/>
              <w:left w:val="single" w:sz="18" w:space="0" w:color="FFFFFF"/>
              <w:bottom w:val="single" w:sz="18" w:space="0" w:color="FFFFFF"/>
              <w:right w:val="single" w:sz="18" w:space="0" w:color="FFFFFF"/>
            </w:tcBorders>
            <w:shd w:val="pct20" w:color="000000" w:fill="FFFFFF"/>
            <w:vAlign w:val="bottom"/>
          </w:tcPr>
          <w:p w:rsidR="00076D0F" w:rsidRDefault="00076D0F" w:rsidP="00CF3D7D">
            <w:pPr>
              <w:jc w:val="right"/>
              <w:rPr>
                <w:rFonts w:cs="Arial"/>
                <w:sz w:val="20"/>
                <w:szCs w:val="20"/>
              </w:rPr>
            </w:pPr>
            <w:r>
              <w:rPr>
                <w:rFonts w:cs="Arial"/>
                <w:sz w:val="20"/>
                <w:szCs w:val="20"/>
              </w:rPr>
              <w:t>3,045,243</w:t>
            </w:r>
          </w:p>
        </w:tc>
        <w:tc>
          <w:tcPr>
            <w:tcW w:w="1559" w:type="dxa"/>
            <w:tcBorders>
              <w:top w:val="single" w:sz="18" w:space="0" w:color="FFFFFF"/>
              <w:left w:val="single" w:sz="18" w:space="0" w:color="FFFFFF"/>
              <w:bottom w:val="single" w:sz="18" w:space="0" w:color="FFFFFF"/>
              <w:right w:val="nil"/>
            </w:tcBorders>
            <w:shd w:val="pct20" w:color="000000" w:fill="FFFFFF"/>
            <w:vAlign w:val="bottom"/>
          </w:tcPr>
          <w:p w:rsidR="00076D0F" w:rsidRDefault="00076D0F" w:rsidP="00CF3D7D">
            <w:pPr>
              <w:jc w:val="right"/>
              <w:rPr>
                <w:rFonts w:cs="Arial"/>
                <w:sz w:val="20"/>
                <w:szCs w:val="20"/>
              </w:rPr>
            </w:pPr>
            <w:r>
              <w:rPr>
                <w:rFonts w:cs="Arial"/>
                <w:sz w:val="20"/>
                <w:szCs w:val="20"/>
              </w:rPr>
              <w:t>1.4</w:t>
            </w:r>
          </w:p>
        </w:tc>
      </w:tr>
      <w:tr w:rsidR="00076D0F" w:rsidRPr="00854306" w:rsidTr="00CF3D7D">
        <w:trPr>
          <w:trHeight w:val="263"/>
        </w:trPr>
        <w:tc>
          <w:tcPr>
            <w:tcW w:w="5245" w:type="dxa"/>
            <w:tcBorders>
              <w:top w:val="single" w:sz="18" w:space="0" w:color="FFFFFF"/>
              <w:left w:val="nil"/>
              <w:bottom w:val="single" w:sz="18" w:space="0" w:color="FFFFFF"/>
              <w:right w:val="single" w:sz="18" w:space="0" w:color="FFFFFF"/>
            </w:tcBorders>
            <w:shd w:val="pct20" w:color="000000" w:fill="FFFFFF"/>
            <w:vAlign w:val="center"/>
          </w:tcPr>
          <w:p w:rsidR="00076D0F" w:rsidRPr="00854306" w:rsidRDefault="00076D0F" w:rsidP="00263206">
            <w:pPr>
              <w:ind w:left="426"/>
              <w:rPr>
                <w:rFonts w:cs="Arial"/>
                <w:color w:val="000000"/>
                <w:sz w:val="20"/>
              </w:rPr>
            </w:pPr>
            <w:proofErr w:type="spellStart"/>
            <w:r>
              <w:rPr>
                <w:rFonts w:cs="Arial"/>
                <w:color w:val="000000"/>
                <w:sz w:val="20"/>
              </w:rPr>
              <w:t>Kontino</w:t>
            </w:r>
            <w:proofErr w:type="spellEnd"/>
            <w:r>
              <w:rPr>
                <w:rFonts w:cs="Arial"/>
                <w:color w:val="000000"/>
                <w:sz w:val="20"/>
              </w:rPr>
              <w:t xml:space="preserve"> Invest </w:t>
            </w:r>
            <w:proofErr w:type="spellStart"/>
            <w:r>
              <w:rPr>
                <w:rFonts w:cs="Arial"/>
                <w:color w:val="000000"/>
                <w:sz w:val="20"/>
              </w:rPr>
              <w:t>Oy</w:t>
            </w:r>
            <w:proofErr w:type="spellEnd"/>
          </w:p>
        </w:tc>
        <w:tc>
          <w:tcPr>
            <w:tcW w:w="1843" w:type="dxa"/>
            <w:tcBorders>
              <w:top w:val="single" w:sz="18" w:space="0" w:color="FFFFFF"/>
              <w:left w:val="single" w:sz="18" w:space="0" w:color="FFFFFF"/>
              <w:bottom w:val="single" w:sz="18" w:space="0" w:color="FFFFFF"/>
              <w:right w:val="single" w:sz="18" w:space="0" w:color="FFFFFF"/>
            </w:tcBorders>
            <w:shd w:val="pct20" w:color="000000" w:fill="FFFFFF"/>
            <w:vAlign w:val="bottom"/>
          </w:tcPr>
          <w:p w:rsidR="00076D0F" w:rsidRDefault="00076D0F" w:rsidP="00CF3D7D">
            <w:pPr>
              <w:jc w:val="right"/>
              <w:rPr>
                <w:rFonts w:cs="Arial"/>
                <w:sz w:val="20"/>
                <w:szCs w:val="20"/>
              </w:rPr>
            </w:pPr>
            <w:r>
              <w:rPr>
                <w:rFonts w:cs="Arial"/>
                <w:sz w:val="20"/>
                <w:szCs w:val="20"/>
              </w:rPr>
              <w:t>2,761,018</w:t>
            </w:r>
          </w:p>
        </w:tc>
        <w:tc>
          <w:tcPr>
            <w:tcW w:w="1559" w:type="dxa"/>
            <w:tcBorders>
              <w:top w:val="single" w:sz="18" w:space="0" w:color="FFFFFF"/>
              <w:left w:val="single" w:sz="18" w:space="0" w:color="FFFFFF"/>
              <w:bottom w:val="single" w:sz="18" w:space="0" w:color="FFFFFF"/>
              <w:right w:val="nil"/>
            </w:tcBorders>
            <w:shd w:val="pct20" w:color="000000" w:fill="FFFFFF"/>
            <w:vAlign w:val="bottom"/>
          </w:tcPr>
          <w:p w:rsidR="00076D0F" w:rsidRDefault="00076D0F" w:rsidP="00CF3D7D">
            <w:pPr>
              <w:jc w:val="right"/>
              <w:rPr>
                <w:rFonts w:cs="Arial"/>
                <w:sz w:val="20"/>
                <w:szCs w:val="20"/>
              </w:rPr>
            </w:pPr>
            <w:r>
              <w:rPr>
                <w:rFonts w:cs="Arial"/>
                <w:sz w:val="20"/>
                <w:szCs w:val="20"/>
              </w:rPr>
              <w:t>1.3</w:t>
            </w:r>
          </w:p>
        </w:tc>
      </w:tr>
      <w:tr w:rsidR="00076D0F" w:rsidRPr="00854306" w:rsidTr="00CF3D7D">
        <w:trPr>
          <w:trHeight w:val="263"/>
        </w:trPr>
        <w:tc>
          <w:tcPr>
            <w:tcW w:w="5245" w:type="dxa"/>
            <w:tcBorders>
              <w:top w:val="single" w:sz="18" w:space="0" w:color="FFFFFF"/>
              <w:left w:val="nil"/>
              <w:bottom w:val="nil"/>
              <w:right w:val="single" w:sz="18" w:space="0" w:color="FFFFFF"/>
            </w:tcBorders>
            <w:shd w:val="pct20" w:color="000000" w:fill="FFFFFF"/>
            <w:vAlign w:val="center"/>
          </w:tcPr>
          <w:p w:rsidR="00076D0F" w:rsidRPr="00854306" w:rsidRDefault="00076D0F" w:rsidP="00263206">
            <w:pPr>
              <w:ind w:left="426"/>
              <w:rPr>
                <w:rFonts w:cs="Arial"/>
                <w:color w:val="000000"/>
                <w:sz w:val="20"/>
              </w:rPr>
            </w:pPr>
            <w:proofErr w:type="spellStart"/>
            <w:r>
              <w:rPr>
                <w:rFonts w:cs="Arial"/>
                <w:color w:val="000000"/>
                <w:sz w:val="20"/>
              </w:rPr>
              <w:t>Sjöblom</w:t>
            </w:r>
            <w:proofErr w:type="spellEnd"/>
            <w:r>
              <w:rPr>
                <w:rFonts w:cs="Arial"/>
                <w:color w:val="000000"/>
                <w:sz w:val="20"/>
              </w:rPr>
              <w:t xml:space="preserve"> </w:t>
            </w:r>
            <w:proofErr w:type="spellStart"/>
            <w:r>
              <w:rPr>
                <w:rFonts w:cs="Arial"/>
                <w:color w:val="000000"/>
                <w:sz w:val="20"/>
              </w:rPr>
              <w:t>Katri</w:t>
            </w:r>
            <w:proofErr w:type="spellEnd"/>
            <w:r>
              <w:rPr>
                <w:rFonts w:cs="Arial"/>
                <w:color w:val="000000"/>
                <w:sz w:val="20"/>
              </w:rPr>
              <w:t xml:space="preserve"> </w:t>
            </w:r>
            <w:proofErr w:type="spellStart"/>
            <w:r>
              <w:rPr>
                <w:rFonts w:cs="Arial"/>
                <w:color w:val="000000"/>
                <w:sz w:val="20"/>
              </w:rPr>
              <w:t>Pauliina</w:t>
            </w:r>
            <w:proofErr w:type="spellEnd"/>
          </w:p>
        </w:tc>
        <w:tc>
          <w:tcPr>
            <w:tcW w:w="1843" w:type="dxa"/>
            <w:tcBorders>
              <w:top w:val="single" w:sz="18" w:space="0" w:color="FFFFFF"/>
              <w:left w:val="single" w:sz="18" w:space="0" w:color="FFFFFF"/>
              <w:bottom w:val="nil"/>
              <w:right w:val="single" w:sz="18" w:space="0" w:color="FFFFFF"/>
            </w:tcBorders>
            <w:shd w:val="pct20" w:color="000000" w:fill="FFFFFF"/>
            <w:vAlign w:val="bottom"/>
          </w:tcPr>
          <w:p w:rsidR="00076D0F" w:rsidRDefault="00076D0F" w:rsidP="00CF3D7D">
            <w:pPr>
              <w:jc w:val="right"/>
              <w:rPr>
                <w:rFonts w:cs="Arial"/>
                <w:sz w:val="20"/>
                <w:szCs w:val="20"/>
              </w:rPr>
            </w:pPr>
            <w:r>
              <w:rPr>
                <w:rFonts w:cs="Arial"/>
                <w:sz w:val="20"/>
                <w:szCs w:val="20"/>
              </w:rPr>
              <w:t>2,303.828</w:t>
            </w:r>
          </w:p>
        </w:tc>
        <w:tc>
          <w:tcPr>
            <w:tcW w:w="1559" w:type="dxa"/>
            <w:tcBorders>
              <w:top w:val="single" w:sz="18" w:space="0" w:color="FFFFFF"/>
              <w:left w:val="single" w:sz="18" w:space="0" w:color="FFFFFF"/>
              <w:bottom w:val="nil"/>
              <w:right w:val="nil"/>
            </w:tcBorders>
            <w:shd w:val="pct20" w:color="000000" w:fill="FFFFFF"/>
            <w:vAlign w:val="bottom"/>
          </w:tcPr>
          <w:p w:rsidR="00076D0F" w:rsidRDefault="00076D0F" w:rsidP="00CF3D7D">
            <w:pPr>
              <w:jc w:val="right"/>
              <w:rPr>
                <w:rFonts w:cs="Arial"/>
                <w:sz w:val="20"/>
                <w:szCs w:val="20"/>
              </w:rPr>
            </w:pPr>
            <w:r>
              <w:rPr>
                <w:rFonts w:cs="Arial"/>
                <w:sz w:val="20"/>
                <w:szCs w:val="20"/>
              </w:rPr>
              <w:t>1.1</w:t>
            </w:r>
          </w:p>
        </w:tc>
      </w:tr>
    </w:tbl>
    <w:p w:rsidR="00263206" w:rsidRPr="008951BF" w:rsidRDefault="00263206" w:rsidP="00B83DB9">
      <w:pPr>
        <w:ind w:left="709"/>
        <w:rPr>
          <w:rFonts w:cs="Arial"/>
        </w:rPr>
      </w:pPr>
    </w:p>
    <w:p w:rsidR="00263206" w:rsidRPr="008951BF" w:rsidRDefault="00263206" w:rsidP="00B83DB9">
      <w:pPr>
        <w:ind w:left="709"/>
        <w:rPr>
          <w:rFonts w:cs="Arial"/>
        </w:rPr>
      </w:pPr>
    </w:p>
    <w:p w:rsidR="0062370E" w:rsidRPr="008951BF" w:rsidRDefault="0062370E" w:rsidP="0065535F">
      <w:pPr>
        <w:ind w:left="709"/>
        <w:rPr>
          <w:rFonts w:cs="Arial"/>
          <w:b/>
        </w:rPr>
      </w:pPr>
      <w:r w:rsidRPr="00B7769B">
        <w:rPr>
          <w:rFonts w:cs="Arial"/>
          <w:b/>
        </w:rPr>
        <w:t>Announcements in accordance with Section 10 of Chapter 9 of the Securities Market Act on a change in holdings</w:t>
      </w:r>
      <w:r w:rsidRPr="008951BF">
        <w:rPr>
          <w:rFonts w:cs="Arial"/>
          <w:b/>
        </w:rPr>
        <w:t xml:space="preserve"> </w:t>
      </w:r>
    </w:p>
    <w:p w:rsidR="00C82262" w:rsidRPr="00D37388" w:rsidRDefault="003A772B" w:rsidP="00076D0F">
      <w:pPr>
        <w:ind w:left="709"/>
        <w:rPr>
          <w:rFonts w:cs="Arial"/>
          <w:lang w:val="en-US"/>
        </w:rPr>
      </w:pPr>
      <w:r>
        <w:rPr>
          <w:rFonts w:cs="Arial"/>
        </w:rPr>
        <w:t>After</w:t>
      </w:r>
      <w:r w:rsidR="00D37388">
        <w:rPr>
          <w:rFonts w:cs="Arial"/>
          <w:lang w:val="en-US"/>
        </w:rPr>
        <w:t xml:space="preserve"> the </w:t>
      </w:r>
      <w:r>
        <w:rPr>
          <w:rFonts w:cs="Arial"/>
          <w:lang w:val="en-US"/>
        </w:rPr>
        <w:t xml:space="preserve">trades based on the </w:t>
      </w:r>
      <w:r w:rsidR="00D37388">
        <w:rPr>
          <w:rFonts w:cs="Arial"/>
          <w:lang w:val="en-US"/>
        </w:rPr>
        <w:t>mandatory public tender offer</w:t>
      </w:r>
      <w:r>
        <w:rPr>
          <w:rFonts w:cs="Arial"/>
          <w:lang w:val="en-US"/>
        </w:rPr>
        <w:t>,</w:t>
      </w:r>
      <w:r w:rsidR="00650C08" w:rsidRPr="00650C08">
        <w:t xml:space="preserve"> </w:t>
      </w:r>
      <w:r w:rsidR="00650C08" w:rsidRPr="00650C08">
        <w:rPr>
          <w:rFonts w:cs="Arial"/>
          <w:lang w:val="en-US"/>
        </w:rPr>
        <w:t>Inission AB’</w:t>
      </w:r>
      <w:r w:rsidR="00F40F75">
        <w:rPr>
          <w:rFonts w:cs="Arial"/>
          <w:lang w:val="en-US"/>
        </w:rPr>
        <w:t>s</w:t>
      </w:r>
      <w:r w:rsidR="00650C08" w:rsidRPr="00650C08">
        <w:rPr>
          <w:rFonts w:cs="Arial"/>
          <w:lang w:val="en-US"/>
        </w:rPr>
        <w:t xml:space="preserve"> holding was</w:t>
      </w:r>
      <w:r w:rsidR="00650C08">
        <w:rPr>
          <w:rFonts w:cs="Arial"/>
          <w:lang w:val="en-US"/>
        </w:rPr>
        <w:t xml:space="preserve"> in January</w:t>
      </w:r>
      <w:r w:rsidR="00D37388">
        <w:rPr>
          <w:rFonts w:cs="Arial"/>
          <w:lang w:val="en-US"/>
        </w:rPr>
        <w:t xml:space="preserve"> </w:t>
      </w:r>
      <w:r>
        <w:rPr>
          <w:rFonts w:cs="Arial"/>
          <w:lang w:val="en-US"/>
        </w:rPr>
        <w:t xml:space="preserve">2015 </w:t>
      </w:r>
      <w:r w:rsidR="00D37388">
        <w:rPr>
          <w:rFonts w:cs="Arial"/>
          <w:lang w:val="en-US"/>
        </w:rPr>
        <w:t xml:space="preserve">increased to 40.85% </w:t>
      </w:r>
      <w:r w:rsidR="00650C08">
        <w:rPr>
          <w:rFonts w:cs="Arial"/>
          <w:lang w:val="en-US"/>
        </w:rPr>
        <w:t xml:space="preserve">or to </w:t>
      </w:r>
      <w:r w:rsidR="00650C08" w:rsidRPr="00650C08">
        <w:rPr>
          <w:rFonts w:cs="Arial"/>
          <w:lang w:val="en-US"/>
        </w:rPr>
        <w:t xml:space="preserve">44,573,010 shares </w:t>
      </w:r>
      <w:r w:rsidR="00D37388">
        <w:rPr>
          <w:rFonts w:cs="Arial"/>
          <w:lang w:val="en-US"/>
        </w:rPr>
        <w:t xml:space="preserve">of all shares and votes of </w:t>
      </w:r>
      <w:proofErr w:type="spellStart"/>
      <w:r w:rsidR="00D37388">
        <w:rPr>
          <w:rFonts w:cs="Arial"/>
          <w:lang w:val="en-US"/>
        </w:rPr>
        <w:t>Incap</w:t>
      </w:r>
      <w:proofErr w:type="spellEnd"/>
      <w:r w:rsidR="00650C08">
        <w:rPr>
          <w:rFonts w:cs="Arial"/>
          <w:lang w:val="en-US"/>
        </w:rPr>
        <w:t xml:space="preserve">. </w:t>
      </w:r>
      <w:r w:rsidR="00B7769B">
        <w:rPr>
          <w:rFonts w:cs="Arial"/>
          <w:lang w:val="en-US"/>
        </w:rPr>
        <w:t xml:space="preserve">The previous </w:t>
      </w:r>
      <w:r w:rsidR="00B7769B" w:rsidRPr="003A772B">
        <w:rPr>
          <w:rFonts w:cs="Arial"/>
          <w:lang w:val="en-US"/>
        </w:rPr>
        <w:t xml:space="preserve">holding of Inission was </w:t>
      </w:r>
      <w:r w:rsidRPr="003A772B">
        <w:rPr>
          <w:rFonts w:cs="Arial"/>
          <w:lang w:val="en-US"/>
        </w:rPr>
        <w:t>37.31</w:t>
      </w:r>
      <w:r w:rsidR="00B7769B" w:rsidRPr="003A772B">
        <w:rPr>
          <w:rFonts w:cs="Arial"/>
          <w:lang w:val="en-US"/>
        </w:rPr>
        <w:t xml:space="preserve">% or </w:t>
      </w:r>
      <w:r w:rsidRPr="003A772B">
        <w:rPr>
          <w:rFonts w:cs="Arial"/>
          <w:lang w:val="en-US"/>
        </w:rPr>
        <w:t>40,707,564</w:t>
      </w:r>
      <w:r w:rsidR="00B7769B" w:rsidRPr="003A772B">
        <w:rPr>
          <w:rFonts w:cs="Arial"/>
          <w:lang w:val="en-US"/>
        </w:rPr>
        <w:t xml:space="preserve"> shares.</w:t>
      </w:r>
    </w:p>
    <w:p w:rsidR="00D430BD" w:rsidRPr="00D37388" w:rsidRDefault="00D430BD" w:rsidP="00C82262">
      <w:pPr>
        <w:ind w:left="709"/>
        <w:rPr>
          <w:rFonts w:cs="Arial"/>
          <w:lang w:val="en-US"/>
        </w:rPr>
      </w:pPr>
    </w:p>
    <w:p w:rsidR="0062370E" w:rsidRPr="008951BF" w:rsidRDefault="0062370E" w:rsidP="0065535F">
      <w:pPr>
        <w:ind w:left="709"/>
        <w:rPr>
          <w:rFonts w:cs="Arial"/>
          <w:b/>
        </w:rPr>
      </w:pPr>
      <w:r w:rsidRPr="008951BF">
        <w:rPr>
          <w:rFonts w:cs="Arial"/>
          <w:b/>
        </w:rPr>
        <w:t>Short-term risks and factors of uncertainty concerning operations</w:t>
      </w:r>
    </w:p>
    <w:p w:rsidR="0062370E" w:rsidRDefault="0062370E" w:rsidP="0065535F">
      <w:pPr>
        <w:ind w:left="709"/>
        <w:rPr>
          <w:rFonts w:cs="Arial"/>
        </w:rPr>
      </w:pPr>
      <w:r w:rsidRPr="008951BF">
        <w:rPr>
          <w:rFonts w:cs="Arial"/>
        </w:rPr>
        <w:t xml:space="preserve">General risks related to the company’s business operations and sector include the development of customer demand, price competition in contract manufacturing, successful acquisition of new customers, availability and price development of raw material and components, sufficiency of funding, liquidity and exchange rate fluctuations. </w:t>
      </w:r>
    </w:p>
    <w:p w:rsidR="00076D0F" w:rsidRDefault="00076D0F" w:rsidP="0065535F">
      <w:pPr>
        <w:ind w:left="709"/>
        <w:rPr>
          <w:rFonts w:cs="Arial"/>
        </w:rPr>
      </w:pPr>
    </w:p>
    <w:p w:rsidR="00076D0F" w:rsidRDefault="00076D0F" w:rsidP="0065535F">
      <w:pPr>
        <w:ind w:left="709"/>
        <w:rPr>
          <w:rFonts w:cs="Arial"/>
        </w:rPr>
      </w:pPr>
      <w:r>
        <w:rPr>
          <w:rFonts w:cs="Arial"/>
        </w:rPr>
        <w:t>As a result of the improved profitability and the rights issue in June 2015, the financing position of the company has improved and the sufficiency of financing or working capital is presenting no remarkable risk at the moment.</w:t>
      </w:r>
    </w:p>
    <w:p w:rsidR="000D3345" w:rsidRDefault="000D3345" w:rsidP="0065535F">
      <w:pPr>
        <w:ind w:left="709"/>
        <w:rPr>
          <w:rFonts w:cs="Arial"/>
        </w:rPr>
      </w:pPr>
    </w:p>
    <w:p w:rsidR="000D3345" w:rsidRDefault="000D3345" w:rsidP="0065535F">
      <w:pPr>
        <w:ind w:left="709"/>
        <w:rPr>
          <w:rFonts w:cs="Arial"/>
        </w:rPr>
      </w:pPr>
      <w:r w:rsidRPr="000D3345">
        <w:rPr>
          <w:rFonts w:cs="Arial"/>
        </w:rPr>
        <w:t>Based on the cash flow estimate prepared in connection with th</w:t>
      </w:r>
      <w:r>
        <w:rPr>
          <w:rFonts w:cs="Arial"/>
        </w:rPr>
        <w:t xml:space="preserve">is interim report </w:t>
      </w:r>
      <w:proofErr w:type="spellStart"/>
      <w:r w:rsidRPr="000D3345">
        <w:rPr>
          <w:rFonts w:cs="Arial"/>
        </w:rPr>
        <w:t>Incap</w:t>
      </w:r>
      <w:proofErr w:type="spellEnd"/>
      <w:r w:rsidRPr="000D3345">
        <w:rPr>
          <w:rFonts w:cs="Arial"/>
        </w:rPr>
        <w:t xml:space="preserve"> estimates that the company’s working capital </w:t>
      </w:r>
      <w:r>
        <w:rPr>
          <w:rFonts w:cs="Arial"/>
        </w:rPr>
        <w:t xml:space="preserve">is sufficient to </w:t>
      </w:r>
      <w:r w:rsidRPr="000D3345">
        <w:rPr>
          <w:rFonts w:cs="Arial"/>
        </w:rPr>
        <w:t>cover the requirement for the next 12 months.</w:t>
      </w:r>
    </w:p>
    <w:p w:rsidR="000D3345" w:rsidRDefault="000D3345" w:rsidP="0065535F">
      <w:pPr>
        <w:ind w:left="709"/>
        <w:rPr>
          <w:rFonts w:cs="Arial"/>
        </w:rPr>
      </w:pPr>
    </w:p>
    <w:p w:rsidR="0062370E" w:rsidRPr="008951BF" w:rsidRDefault="0062370E" w:rsidP="0065535F">
      <w:pPr>
        <w:ind w:left="709"/>
        <w:rPr>
          <w:rFonts w:cs="Arial"/>
        </w:rPr>
      </w:pPr>
      <w:r w:rsidRPr="008951BF">
        <w:rPr>
          <w:rFonts w:cs="Arial"/>
        </w:rPr>
        <w:t xml:space="preserve">The value of the shares in subsidiaries in the parent group has a significant impact on the parent company’s equity and therefore on, for example, equity ratio. </w:t>
      </w:r>
      <w:r w:rsidR="00076D0F">
        <w:rPr>
          <w:rFonts w:cs="Arial"/>
        </w:rPr>
        <w:t>There</w:t>
      </w:r>
      <w:r w:rsidR="00937906" w:rsidRPr="008951BF">
        <w:rPr>
          <w:rFonts w:cs="Arial"/>
        </w:rPr>
        <w:t xml:space="preserve"> is an element of uncertainty associated with the value of the subsidiary</w:t>
      </w:r>
      <w:r w:rsidR="00076D0F">
        <w:rPr>
          <w:rFonts w:cs="Arial"/>
        </w:rPr>
        <w:t xml:space="preserve"> in Estonia</w:t>
      </w:r>
      <w:r w:rsidR="00937906" w:rsidRPr="008951BF">
        <w:rPr>
          <w:rFonts w:cs="Arial"/>
        </w:rPr>
        <w:t xml:space="preserve"> due to its unprofitability in the past. </w:t>
      </w:r>
      <w:r w:rsidRPr="008951BF">
        <w:rPr>
          <w:rFonts w:cs="Arial"/>
        </w:rPr>
        <w:t>The business development of the Indian subsidiary has been favourable and there are no indications of impairment of its shares.</w:t>
      </w:r>
    </w:p>
    <w:p w:rsidR="0062370E" w:rsidRPr="008951BF" w:rsidRDefault="0062370E" w:rsidP="0065535F">
      <w:pPr>
        <w:ind w:left="709"/>
        <w:rPr>
          <w:rFonts w:cs="Arial"/>
        </w:rPr>
      </w:pPr>
    </w:p>
    <w:p w:rsidR="0062370E" w:rsidRPr="008951BF" w:rsidRDefault="006335A3" w:rsidP="0065535F">
      <w:pPr>
        <w:ind w:left="709"/>
        <w:rPr>
          <w:rFonts w:cs="Arial"/>
          <w:b/>
        </w:rPr>
      </w:pPr>
      <w:r w:rsidRPr="008951BF">
        <w:rPr>
          <w:rFonts w:cs="Arial"/>
          <w:b/>
        </w:rPr>
        <w:t>Strategy and targets</w:t>
      </w:r>
    </w:p>
    <w:p w:rsidR="006335A3" w:rsidRPr="008951BF" w:rsidRDefault="006335A3" w:rsidP="0065535F">
      <w:pPr>
        <w:ind w:left="709"/>
        <w:rPr>
          <w:rFonts w:cs="Arial"/>
        </w:rPr>
      </w:pPr>
      <w:r w:rsidRPr="008951BF">
        <w:rPr>
          <w:rFonts w:cs="Arial"/>
        </w:rPr>
        <w:t xml:space="preserve">In 2015 </w:t>
      </w:r>
      <w:proofErr w:type="spellStart"/>
      <w:r w:rsidRPr="008951BF">
        <w:rPr>
          <w:rFonts w:cs="Arial"/>
        </w:rPr>
        <w:t>Incap</w:t>
      </w:r>
      <w:proofErr w:type="spellEnd"/>
      <w:r w:rsidRPr="008951BF">
        <w:rPr>
          <w:rFonts w:cs="Arial"/>
        </w:rPr>
        <w:t xml:space="preserve"> </w:t>
      </w:r>
      <w:r w:rsidR="00890B87">
        <w:rPr>
          <w:rFonts w:cs="Arial"/>
        </w:rPr>
        <w:t>is focusing</w:t>
      </w:r>
      <w:r w:rsidRPr="008951BF">
        <w:rPr>
          <w:rFonts w:cs="Arial"/>
        </w:rPr>
        <w:t xml:space="preserve"> on increasing the revenue and improving the operational efficiency further.</w:t>
      </w:r>
    </w:p>
    <w:p w:rsidR="006335A3" w:rsidRPr="008951BF" w:rsidRDefault="006335A3" w:rsidP="0065535F">
      <w:pPr>
        <w:ind w:left="709"/>
        <w:rPr>
          <w:rFonts w:cs="Arial"/>
        </w:rPr>
      </w:pPr>
    </w:p>
    <w:p w:rsidR="006335A3" w:rsidRPr="008951BF" w:rsidRDefault="00195E56" w:rsidP="0065535F">
      <w:pPr>
        <w:ind w:left="709"/>
        <w:rPr>
          <w:rFonts w:cs="Arial"/>
        </w:rPr>
      </w:pPr>
      <w:r>
        <w:rPr>
          <w:rFonts w:cs="Arial"/>
        </w:rPr>
        <w:t>In line with focusing operations</w:t>
      </w:r>
      <w:r w:rsidR="00890B87">
        <w:rPr>
          <w:rFonts w:cs="Arial"/>
        </w:rPr>
        <w:t xml:space="preserve"> – after having divested</w:t>
      </w:r>
      <w:r w:rsidR="006335A3" w:rsidRPr="008951BF">
        <w:rPr>
          <w:rFonts w:cs="Arial"/>
        </w:rPr>
        <w:t xml:space="preserve"> mechanics operations</w:t>
      </w:r>
      <w:r w:rsidR="00890B87">
        <w:rPr>
          <w:rFonts w:cs="Arial"/>
        </w:rPr>
        <w:t xml:space="preserve"> -</w:t>
      </w:r>
      <w:r w:rsidR="006335A3" w:rsidRPr="008951BF">
        <w:rPr>
          <w:rFonts w:cs="Arial"/>
        </w:rPr>
        <w:t xml:space="preserve"> the company’s core business is the contract manufacturing of electronics and the related assembly. The company has </w:t>
      </w:r>
      <w:r w:rsidR="005F73CA">
        <w:rPr>
          <w:rFonts w:cs="Arial"/>
        </w:rPr>
        <w:t>an</w:t>
      </w:r>
      <w:r w:rsidR="006335A3" w:rsidRPr="008951BF">
        <w:rPr>
          <w:rFonts w:cs="Arial"/>
        </w:rPr>
        <w:t xml:space="preserve"> </w:t>
      </w:r>
      <w:r w:rsidR="00544645">
        <w:rPr>
          <w:rFonts w:cs="Arial"/>
        </w:rPr>
        <w:t>explicit</w:t>
      </w:r>
      <w:r w:rsidR="006335A3" w:rsidRPr="008951BF">
        <w:rPr>
          <w:rFonts w:cs="Arial"/>
        </w:rPr>
        <w:t xml:space="preserve"> peer group, EMS, which is enhancing the company’s brand and communication with stakeholders like customers and investors.</w:t>
      </w:r>
    </w:p>
    <w:p w:rsidR="006335A3" w:rsidRPr="008951BF" w:rsidRDefault="006335A3" w:rsidP="0065535F">
      <w:pPr>
        <w:ind w:left="709"/>
        <w:rPr>
          <w:rFonts w:cs="Arial"/>
        </w:rPr>
      </w:pPr>
    </w:p>
    <w:p w:rsidR="006335A3" w:rsidRPr="008951BF" w:rsidRDefault="006335A3" w:rsidP="0065535F">
      <w:pPr>
        <w:ind w:left="709"/>
        <w:rPr>
          <w:rFonts w:cs="Arial"/>
        </w:rPr>
      </w:pPr>
      <w:proofErr w:type="spellStart"/>
      <w:r w:rsidRPr="008951BF">
        <w:rPr>
          <w:rFonts w:cs="Arial"/>
        </w:rPr>
        <w:lastRenderedPageBreak/>
        <w:t>Incap</w:t>
      </w:r>
      <w:proofErr w:type="spellEnd"/>
      <w:r w:rsidRPr="008951BF">
        <w:rPr>
          <w:rFonts w:cs="Arial"/>
        </w:rPr>
        <w:t xml:space="preserve"> has factories with </w:t>
      </w:r>
      <w:r w:rsidR="00721976">
        <w:rPr>
          <w:rFonts w:cs="Arial"/>
        </w:rPr>
        <w:t>state-of-the-art</w:t>
      </w:r>
      <w:r w:rsidRPr="008951BF">
        <w:rPr>
          <w:rFonts w:cs="Arial"/>
        </w:rPr>
        <w:t xml:space="preserve"> technology in Estonia and in India,</w:t>
      </w:r>
      <w:r w:rsidR="00721976">
        <w:rPr>
          <w:rFonts w:cs="Arial"/>
        </w:rPr>
        <w:t xml:space="preserve"> i.e. </w:t>
      </w:r>
      <w:r w:rsidRPr="008951BF">
        <w:rPr>
          <w:rFonts w:cs="Arial"/>
        </w:rPr>
        <w:t>in countries with competitive cost structure. The operation</w:t>
      </w:r>
      <w:r w:rsidR="00544645">
        <w:rPr>
          <w:rFonts w:cs="Arial"/>
        </w:rPr>
        <w:t>s</w:t>
      </w:r>
      <w:r w:rsidRPr="008951BF">
        <w:rPr>
          <w:rFonts w:cs="Arial"/>
        </w:rPr>
        <w:t xml:space="preserve"> in both factories </w:t>
      </w:r>
      <w:r w:rsidR="00544645">
        <w:rPr>
          <w:rFonts w:cs="Arial"/>
        </w:rPr>
        <w:t>are</w:t>
      </w:r>
      <w:r w:rsidRPr="008951BF">
        <w:rPr>
          <w:rFonts w:cs="Arial"/>
        </w:rPr>
        <w:t xml:space="preserve"> on</w:t>
      </w:r>
      <w:r w:rsidR="00544645">
        <w:rPr>
          <w:rFonts w:cs="Arial"/>
        </w:rPr>
        <w:t xml:space="preserve"> high-class level as to quality</w:t>
      </w:r>
      <w:r w:rsidRPr="008951BF">
        <w:rPr>
          <w:rFonts w:cs="Arial"/>
        </w:rPr>
        <w:t xml:space="preserve"> and have been approved by globally operating, well-known customers. In 2015, the factories will </w:t>
      </w:r>
      <w:r w:rsidR="00544645">
        <w:rPr>
          <w:rFonts w:cs="Arial"/>
        </w:rPr>
        <w:t>have</w:t>
      </w:r>
      <w:r w:rsidRPr="008951BF">
        <w:rPr>
          <w:rFonts w:cs="Arial"/>
        </w:rPr>
        <w:t xml:space="preserve"> a common enterprise resource planning platform, enabling synergies and efficient operations between the factories. The choice of manufacturing location and eventual transfer of production from a factory to another is for the customer even easier than before.</w:t>
      </w:r>
    </w:p>
    <w:p w:rsidR="006335A3" w:rsidRPr="008951BF" w:rsidRDefault="006335A3" w:rsidP="0065535F">
      <w:pPr>
        <w:ind w:left="709"/>
        <w:rPr>
          <w:rFonts w:cs="Arial"/>
        </w:rPr>
      </w:pPr>
    </w:p>
    <w:p w:rsidR="00D339DA" w:rsidRDefault="00213946" w:rsidP="0065535F">
      <w:pPr>
        <w:ind w:left="709"/>
        <w:rPr>
          <w:rFonts w:cs="Arial"/>
        </w:rPr>
      </w:pPr>
      <w:r w:rsidRPr="008951BF">
        <w:rPr>
          <w:rFonts w:cs="Arial"/>
        </w:rPr>
        <w:t xml:space="preserve">Increasing the revenue by enhancing the sales and marketing is one of the most important targets in 2015. </w:t>
      </w:r>
      <w:r w:rsidR="00076D0F">
        <w:rPr>
          <w:rFonts w:cs="Arial"/>
        </w:rPr>
        <w:t xml:space="preserve">The company has established the extremely lean organisation structure, enabling fast decision-making and clear roles for everybody. This increases the satisfaction among personnel and customers. The structure </w:t>
      </w:r>
      <w:r w:rsidR="00890B87">
        <w:rPr>
          <w:rFonts w:cs="Arial"/>
        </w:rPr>
        <w:t>secures</w:t>
      </w:r>
      <w:r w:rsidR="00076D0F">
        <w:rPr>
          <w:rFonts w:cs="Arial"/>
        </w:rPr>
        <w:t xml:space="preserve"> short reaction</w:t>
      </w:r>
      <w:r w:rsidR="00D339DA">
        <w:rPr>
          <w:rFonts w:cs="Arial"/>
        </w:rPr>
        <w:t xml:space="preserve"> time</w:t>
      </w:r>
      <w:r w:rsidR="00890B87">
        <w:rPr>
          <w:rFonts w:cs="Arial"/>
        </w:rPr>
        <w:t>s</w:t>
      </w:r>
      <w:r w:rsidR="00D339DA">
        <w:rPr>
          <w:rFonts w:cs="Arial"/>
        </w:rPr>
        <w:t xml:space="preserve"> and flexibility in the customer interface. The company has acquired new customers and received new projects from present customers. The quotation base both in Estonia and India has grown and the revenue is expected to develop favourably.</w:t>
      </w:r>
    </w:p>
    <w:p w:rsidR="00D339DA" w:rsidRDefault="00D339DA" w:rsidP="0065535F">
      <w:pPr>
        <w:ind w:left="709"/>
        <w:rPr>
          <w:rFonts w:cs="Arial"/>
        </w:rPr>
      </w:pPr>
    </w:p>
    <w:p w:rsidR="00213946" w:rsidRPr="008951BF" w:rsidRDefault="00213946" w:rsidP="0065535F">
      <w:pPr>
        <w:ind w:left="709"/>
        <w:rPr>
          <w:rFonts w:cs="Arial"/>
        </w:rPr>
      </w:pPr>
      <w:proofErr w:type="spellStart"/>
      <w:r w:rsidRPr="008951BF">
        <w:rPr>
          <w:rFonts w:cs="Arial"/>
        </w:rPr>
        <w:t>Incap</w:t>
      </w:r>
      <w:r w:rsidR="00D339DA">
        <w:rPr>
          <w:rFonts w:cs="Arial"/>
        </w:rPr>
        <w:t>’s</w:t>
      </w:r>
      <w:proofErr w:type="spellEnd"/>
      <w:r w:rsidR="00D339DA">
        <w:rPr>
          <w:rFonts w:cs="Arial"/>
        </w:rPr>
        <w:t xml:space="preserve"> operational model is clear and efficient. </w:t>
      </w:r>
      <w:r w:rsidRPr="008951BF">
        <w:rPr>
          <w:rFonts w:cs="Arial"/>
        </w:rPr>
        <w:t xml:space="preserve"> The very core of the operations is near the customers, in factories acting as independent costs centres. Low overall costs enable profitable operations and competitive edge.</w:t>
      </w:r>
    </w:p>
    <w:p w:rsidR="00213946" w:rsidRPr="008951BF" w:rsidRDefault="00213946" w:rsidP="0065535F">
      <w:pPr>
        <w:ind w:left="709"/>
        <w:rPr>
          <w:rFonts w:cs="Arial"/>
        </w:rPr>
      </w:pPr>
    </w:p>
    <w:p w:rsidR="00213946" w:rsidRDefault="00213946" w:rsidP="0065535F">
      <w:pPr>
        <w:ind w:left="709"/>
        <w:rPr>
          <w:rFonts w:cs="Arial"/>
        </w:rPr>
      </w:pPr>
      <w:r w:rsidRPr="008951BF">
        <w:rPr>
          <w:rFonts w:cs="Arial"/>
        </w:rPr>
        <w:t xml:space="preserve">The Board of Directors </w:t>
      </w:r>
      <w:r w:rsidR="00D339DA">
        <w:rPr>
          <w:rFonts w:cs="Arial"/>
        </w:rPr>
        <w:t xml:space="preserve">continues assessing potential </w:t>
      </w:r>
      <w:r w:rsidRPr="008951BF">
        <w:rPr>
          <w:rFonts w:cs="Arial"/>
        </w:rPr>
        <w:t xml:space="preserve">strategic </w:t>
      </w:r>
      <w:proofErr w:type="spellStart"/>
      <w:r w:rsidR="00D339DA">
        <w:rPr>
          <w:rFonts w:cs="Arial"/>
        </w:rPr>
        <w:t>alternatives.A</w:t>
      </w:r>
      <w:r w:rsidRPr="008951BF">
        <w:rPr>
          <w:rFonts w:cs="Arial"/>
        </w:rPr>
        <w:t>fter</w:t>
      </w:r>
      <w:proofErr w:type="spellEnd"/>
      <w:r w:rsidRPr="008951BF">
        <w:rPr>
          <w:rFonts w:cs="Arial"/>
        </w:rPr>
        <w:t xml:space="preserve"> the financial situation has improved </w:t>
      </w:r>
      <w:proofErr w:type="spellStart"/>
      <w:r w:rsidR="00544645">
        <w:rPr>
          <w:rFonts w:cs="Arial"/>
        </w:rPr>
        <w:t>Incap</w:t>
      </w:r>
      <w:proofErr w:type="spellEnd"/>
      <w:r w:rsidRPr="008951BF">
        <w:rPr>
          <w:rFonts w:cs="Arial"/>
        </w:rPr>
        <w:t xml:space="preserve"> is better positioned to negotiate on eventual alliances</w:t>
      </w:r>
      <w:r w:rsidR="00F40F75">
        <w:rPr>
          <w:rFonts w:cs="Arial"/>
        </w:rPr>
        <w:t>,</w:t>
      </w:r>
      <w:r w:rsidRPr="008951BF">
        <w:rPr>
          <w:rFonts w:cs="Arial"/>
        </w:rPr>
        <w:t xml:space="preserve"> thereby ensuring the </w:t>
      </w:r>
      <w:r w:rsidR="00544645">
        <w:rPr>
          <w:rFonts w:cs="Arial"/>
        </w:rPr>
        <w:t>interests</w:t>
      </w:r>
      <w:r w:rsidRPr="008951BF">
        <w:rPr>
          <w:rFonts w:cs="Arial"/>
        </w:rPr>
        <w:t xml:space="preserve"> of </w:t>
      </w:r>
      <w:r w:rsidR="005F73CA">
        <w:rPr>
          <w:rFonts w:cs="Arial"/>
        </w:rPr>
        <w:t>all shareholders of the company.</w:t>
      </w:r>
      <w:r w:rsidRPr="008951BF">
        <w:rPr>
          <w:rFonts w:cs="Arial"/>
        </w:rPr>
        <w:t xml:space="preserve">  </w:t>
      </w:r>
    </w:p>
    <w:p w:rsidR="00D339DA" w:rsidRDefault="00D339DA" w:rsidP="0065535F">
      <w:pPr>
        <w:ind w:left="709"/>
        <w:rPr>
          <w:rFonts w:cs="Arial"/>
        </w:rPr>
      </w:pPr>
    </w:p>
    <w:p w:rsidR="0062370E" w:rsidRPr="008951BF" w:rsidRDefault="00213946" w:rsidP="0065535F">
      <w:pPr>
        <w:ind w:left="709"/>
        <w:rPr>
          <w:rFonts w:cs="Arial"/>
          <w:b/>
        </w:rPr>
      </w:pPr>
      <w:r w:rsidRPr="008951BF">
        <w:rPr>
          <w:rFonts w:cs="Arial"/>
          <w:b/>
        </w:rPr>
        <w:t>Outlook for 2015</w:t>
      </w:r>
    </w:p>
    <w:p w:rsidR="00EB321B" w:rsidRPr="008951BF" w:rsidRDefault="0062370E" w:rsidP="0065535F">
      <w:pPr>
        <w:ind w:left="709"/>
        <w:rPr>
          <w:rFonts w:cs="Arial"/>
        </w:rPr>
      </w:pPr>
      <w:proofErr w:type="spellStart"/>
      <w:r w:rsidRPr="008951BF">
        <w:rPr>
          <w:rFonts w:cs="Arial"/>
        </w:rPr>
        <w:t>Incap’s</w:t>
      </w:r>
      <w:proofErr w:type="spellEnd"/>
      <w:r w:rsidRPr="008951BF">
        <w:rPr>
          <w:rFonts w:cs="Arial"/>
        </w:rPr>
        <w:t xml:space="preserve"> estimates for future business development are based both on its customers’ forecasts and on the company’s own assessments. </w:t>
      </w:r>
      <w:r w:rsidR="00213946" w:rsidRPr="008423EA">
        <w:rPr>
          <w:rFonts w:cs="Arial"/>
        </w:rPr>
        <w:t xml:space="preserve">Due to the general economic uncertainty it is very hard to estimate the development of customer demand. Many customers are indicating growth in demand in 2015 but </w:t>
      </w:r>
      <w:r w:rsidR="00EB321B" w:rsidRPr="008423EA">
        <w:rPr>
          <w:rFonts w:cs="Arial"/>
        </w:rPr>
        <w:t>give reservations regarding their own volumes.</w:t>
      </w:r>
      <w:r w:rsidR="00EB321B" w:rsidRPr="008951BF">
        <w:rPr>
          <w:rFonts w:cs="Arial"/>
        </w:rPr>
        <w:t xml:space="preserve"> </w:t>
      </w:r>
    </w:p>
    <w:p w:rsidR="00EB321B" w:rsidRPr="008951BF" w:rsidRDefault="00EB321B" w:rsidP="0065535F">
      <w:pPr>
        <w:ind w:left="709"/>
        <w:rPr>
          <w:rFonts w:cs="Arial"/>
        </w:rPr>
      </w:pPr>
    </w:p>
    <w:p w:rsidR="0062370E" w:rsidRPr="008951BF" w:rsidRDefault="00D339DA" w:rsidP="0065535F">
      <w:pPr>
        <w:ind w:left="709"/>
        <w:rPr>
          <w:rFonts w:cs="Arial"/>
        </w:rPr>
      </w:pPr>
      <w:r>
        <w:rPr>
          <w:rFonts w:cs="Arial"/>
        </w:rPr>
        <w:t xml:space="preserve">The intensified new customer acquisition in line with the company’s strategy has proceeded well and the quotation base of both factories has grown steadily. Based on this the company specifies its previous guidance given in the financial statement release and </w:t>
      </w:r>
      <w:r w:rsidR="000E653B">
        <w:rPr>
          <w:rFonts w:cs="Arial"/>
        </w:rPr>
        <w:t xml:space="preserve">the </w:t>
      </w:r>
      <w:r>
        <w:rPr>
          <w:rFonts w:cs="Arial"/>
        </w:rPr>
        <w:t xml:space="preserve">prospectus and estimates that the </w:t>
      </w:r>
      <w:r w:rsidR="0062370E" w:rsidRPr="008951BF">
        <w:rPr>
          <w:rFonts w:cs="Arial"/>
        </w:rPr>
        <w:t>Group’s revenue</w:t>
      </w:r>
      <w:r w:rsidR="00195E56">
        <w:rPr>
          <w:rFonts w:cs="Arial"/>
        </w:rPr>
        <w:t xml:space="preserve"> and operating profit (EBIT) </w:t>
      </w:r>
      <w:r w:rsidR="0062370E" w:rsidRPr="008951BF">
        <w:rPr>
          <w:rFonts w:cs="Arial"/>
        </w:rPr>
        <w:t>in 201</w:t>
      </w:r>
      <w:r w:rsidR="00EB321B" w:rsidRPr="008951BF">
        <w:rPr>
          <w:rFonts w:cs="Arial"/>
        </w:rPr>
        <w:t>5</w:t>
      </w:r>
      <w:r w:rsidR="0062370E" w:rsidRPr="008951BF">
        <w:rPr>
          <w:rFonts w:cs="Arial"/>
        </w:rPr>
        <w:t xml:space="preserve"> </w:t>
      </w:r>
      <w:r w:rsidR="00195E56">
        <w:rPr>
          <w:rFonts w:cs="Arial"/>
        </w:rPr>
        <w:t>are</w:t>
      </w:r>
      <w:r w:rsidR="0062370E" w:rsidRPr="008951BF">
        <w:rPr>
          <w:rFonts w:cs="Arial"/>
        </w:rPr>
        <w:t xml:space="preserve"> </w:t>
      </w:r>
      <w:r>
        <w:rPr>
          <w:rFonts w:cs="Arial"/>
        </w:rPr>
        <w:t xml:space="preserve">clearly </w:t>
      </w:r>
      <w:r w:rsidR="00195E56" w:rsidRPr="00A47933">
        <w:rPr>
          <w:rFonts w:cs="Arial"/>
        </w:rPr>
        <w:t xml:space="preserve">higher </w:t>
      </w:r>
      <w:r w:rsidR="00EB321B" w:rsidRPr="00A47933">
        <w:rPr>
          <w:rFonts w:cs="Arial"/>
        </w:rPr>
        <w:t>than</w:t>
      </w:r>
      <w:r w:rsidR="00EB321B" w:rsidRPr="008951BF">
        <w:rPr>
          <w:rFonts w:cs="Arial"/>
        </w:rPr>
        <w:t xml:space="preserve"> in 2014, </w:t>
      </w:r>
      <w:r w:rsidR="0062370E" w:rsidRPr="008951BF">
        <w:rPr>
          <w:rFonts w:cs="Arial"/>
        </w:rPr>
        <w:t xml:space="preserve">when </w:t>
      </w:r>
      <w:r w:rsidR="00195E56">
        <w:rPr>
          <w:rFonts w:cs="Arial"/>
        </w:rPr>
        <w:t xml:space="preserve">the revenue </w:t>
      </w:r>
      <w:r w:rsidR="0062370E" w:rsidRPr="008951BF">
        <w:rPr>
          <w:rFonts w:cs="Arial"/>
        </w:rPr>
        <w:t xml:space="preserve">was EUR </w:t>
      </w:r>
      <w:r w:rsidR="00EB321B" w:rsidRPr="008951BF">
        <w:rPr>
          <w:rFonts w:cs="Arial"/>
        </w:rPr>
        <w:t>18.5</w:t>
      </w:r>
      <w:r w:rsidR="0062370E" w:rsidRPr="008951BF">
        <w:rPr>
          <w:rFonts w:cs="Arial"/>
        </w:rPr>
        <w:t xml:space="preserve"> million</w:t>
      </w:r>
      <w:r w:rsidR="00195E56">
        <w:rPr>
          <w:rFonts w:cs="Arial"/>
        </w:rPr>
        <w:t xml:space="preserve"> and the </w:t>
      </w:r>
      <w:r w:rsidR="0062370E" w:rsidRPr="008951BF">
        <w:rPr>
          <w:rFonts w:cs="Arial"/>
        </w:rPr>
        <w:t xml:space="preserve">operating </w:t>
      </w:r>
      <w:r w:rsidR="00EB321B" w:rsidRPr="008951BF">
        <w:rPr>
          <w:rFonts w:cs="Arial"/>
        </w:rPr>
        <w:t>profit</w:t>
      </w:r>
      <w:r w:rsidR="0062370E" w:rsidRPr="008951BF">
        <w:rPr>
          <w:rFonts w:cs="Arial"/>
        </w:rPr>
        <w:t xml:space="preserve"> (EBIT) EUR </w:t>
      </w:r>
      <w:r w:rsidR="00195E56">
        <w:rPr>
          <w:rFonts w:cs="Arial"/>
        </w:rPr>
        <w:t>1.1</w:t>
      </w:r>
      <w:r w:rsidR="00DF6138" w:rsidRPr="008951BF">
        <w:rPr>
          <w:rFonts w:cs="Arial"/>
        </w:rPr>
        <w:t xml:space="preserve"> million.</w:t>
      </w:r>
      <w:r w:rsidR="0062370E" w:rsidRPr="008951BF">
        <w:rPr>
          <w:rFonts w:cs="Arial"/>
        </w:rPr>
        <w:t xml:space="preserve"> </w:t>
      </w:r>
      <w:r>
        <w:rPr>
          <w:rFonts w:cs="Arial"/>
        </w:rPr>
        <w:t>The company estimated previously that the revenue and operating profit in 2015 are higher than in 2014.</w:t>
      </w:r>
    </w:p>
    <w:p w:rsidR="00DF6138" w:rsidRPr="008951BF" w:rsidRDefault="00DF6138" w:rsidP="0065535F">
      <w:pPr>
        <w:ind w:left="709"/>
        <w:rPr>
          <w:rFonts w:cs="Arial"/>
        </w:rPr>
      </w:pPr>
    </w:p>
    <w:p w:rsidR="00D339DA" w:rsidRDefault="00D339DA" w:rsidP="0065535F">
      <w:pPr>
        <w:ind w:left="709"/>
        <w:rPr>
          <w:rFonts w:cs="Arial"/>
          <w:b/>
        </w:rPr>
      </w:pPr>
    </w:p>
    <w:p w:rsidR="00DF6138" w:rsidRDefault="00DF6138" w:rsidP="0065535F">
      <w:pPr>
        <w:ind w:left="709"/>
        <w:rPr>
          <w:rFonts w:cs="Arial"/>
        </w:rPr>
      </w:pPr>
      <w:proofErr w:type="spellStart"/>
      <w:r w:rsidRPr="008951BF">
        <w:rPr>
          <w:rFonts w:cs="Arial"/>
        </w:rPr>
        <w:t>Incap</w:t>
      </w:r>
      <w:proofErr w:type="spellEnd"/>
      <w:r w:rsidRPr="008951BF">
        <w:rPr>
          <w:rFonts w:cs="Arial"/>
        </w:rPr>
        <w:t xml:space="preserve"> will publi</w:t>
      </w:r>
      <w:r w:rsidR="00561EAE">
        <w:rPr>
          <w:rFonts w:cs="Arial"/>
        </w:rPr>
        <w:t xml:space="preserve">sh </w:t>
      </w:r>
      <w:r w:rsidR="000E653B">
        <w:rPr>
          <w:rFonts w:cs="Arial"/>
        </w:rPr>
        <w:t xml:space="preserve">its </w:t>
      </w:r>
      <w:r w:rsidR="00561EAE">
        <w:rPr>
          <w:rFonts w:cs="Arial"/>
        </w:rPr>
        <w:t>Interim Management Statement</w:t>
      </w:r>
      <w:r w:rsidRPr="008951BF">
        <w:rPr>
          <w:rFonts w:cs="Arial"/>
        </w:rPr>
        <w:t xml:space="preserve"> </w:t>
      </w:r>
      <w:r w:rsidR="00D339DA">
        <w:rPr>
          <w:rFonts w:cs="Arial"/>
        </w:rPr>
        <w:t xml:space="preserve">for the period from 1 January until 12 November 2015 on Thursday, 12 November 2015. </w:t>
      </w:r>
    </w:p>
    <w:p w:rsidR="00D339DA" w:rsidRPr="008951BF" w:rsidRDefault="00D339DA" w:rsidP="0065535F">
      <w:pPr>
        <w:ind w:left="709"/>
        <w:rPr>
          <w:rFonts w:cs="Arial"/>
        </w:rPr>
      </w:pPr>
    </w:p>
    <w:p w:rsidR="00DF6138" w:rsidRPr="008951BF" w:rsidRDefault="00DF6138" w:rsidP="0065535F">
      <w:pPr>
        <w:ind w:left="709"/>
        <w:rPr>
          <w:rFonts w:cs="Arial"/>
        </w:rPr>
      </w:pPr>
      <w:r w:rsidRPr="008951BF">
        <w:rPr>
          <w:rFonts w:cs="Arial"/>
        </w:rPr>
        <w:t xml:space="preserve">In Helsinki, </w:t>
      </w:r>
      <w:r w:rsidR="00D339DA">
        <w:rPr>
          <w:rFonts w:cs="Arial"/>
        </w:rPr>
        <w:t>6 August</w:t>
      </w:r>
      <w:r w:rsidRPr="008951BF">
        <w:rPr>
          <w:rFonts w:cs="Arial"/>
        </w:rPr>
        <w:t xml:space="preserve"> 2015</w:t>
      </w:r>
    </w:p>
    <w:p w:rsidR="00DF6138" w:rsidRPr="008951BF" w:rsidRDefault="00DF6138" w:rsidP="0065535F">
      <w:pPr>
        <w:ind w:left="709"/>
        <w:rPr>
          <w:rFonts w:cs="Arial"/>
        </w:rPr>
      </w:pPr>
    </w:p>
    <w:p w:rsidR="0062370E" w:rsidRPr="008951BF" w:rsidRDefault="0062370E" w:rsidP="0065535F">
      <w:pPr>
        <w:ind w:left="709"/>
        <w:rPr>
          <w:rFonts w:cs="Arial"/>
        </w:rPr>
      </w:pPr>
      <w:r w:rsidRPr="008951BF">
        <w:rPr>
          <w:rFonts w:cs="Arial"/>
        </w:rPr>
        <w:tab/>
      </w:r>
      <w:r w:rsidRPr="008951BF">
        <w:rPr>
          <w:rFonts w:cs="Arial"/>
        </w:rPr>
        <w:tab/>
      </w:r>
    </w:p>
    <w:bookmarkEnd w:id="1"/>
    <w:bookmarkEnd w:id="2"/>
    <w:p w:rsidR="00F9251B" w:rsidRPr="008951BF" w:rsidRDefault="005E450C" w:rsidP="0065535F">
      <w:pPr>
        <w:pStyle w:val="BodyTextIndent3"/>
        <w:ind w:left="709"/>
        <w:rPr>
          <w:sz w:val="24"/>
          <w:lang w:val="en-GB"/>
        </w:rPr>
      </w:pPr>
      <w:r w:rsidRPr="008951BF">
        <w:rPr>
          <w:sz w:val="24"/>
          <w:lang w:val="en-GB"/>
        </w:rPr>
        <w:t>INCAP CORPORATION</w:t>
      </w:r>
    </w:p>
    <w:p w:rsidR="00B41303" w:rsidRPr="008951BF" w:rsidRDefault="0062370E" w:rsidP="0065535F">
      <w:pPr>
        <w:pStyle w:val="BodyTextIndent3"/>
        <w:ind w:left="709"/>
        <w:rPr>
          <w:sz w:val="24"/>
          <w:lang w:val="en-GB"/>
        </w:rPr>
      </w:pPr>
      <w:r w:rsidRPr="008951BF">
        <w:rPr>
          <w:sz w:val="24"/>
          <w:lang w:val="en-GB"/>
        </w:rPr>
        <w:t>Board of Directors</w:t>
      </w:r>
    </w:p>
    <w:p w:rsidR="005E450C" w:rsidRPr="008951BF" w:rsidRDefault="005E450C" w:rsidP="0065535F">
      <w:pPr>
        <w:pStyle w:val="Heading3"/>
        <w:ind w:left="709"/>
        <w:rPr>
          <w:b w:val="0"/>
          <w:lang w:val="en-GB"/>
        </w:rPr>
      </w:pPr>
      <w:r w:rsidRPr="008951BF">
        <w:rPr>
          <w:b w:val="0"/>
          <w:lang w:val="en-GB"/>
        </w:rPr>
        <w:t xml:space="preserve">  </w:t>
      </w:r>
    </w:p>
    <w:p w:rsidR="005E450C" w:rsidRPr="008951BF" w:rsidRDefault="005E450C" w:rsidP="0065535F">
      <w:pPr>
        <w:ind w:left="709"/>
        <w:rPr>
          <w:rFonts w:cs="Arial"/>
        </w:rPr>
      </w:pPr>
      <w:r w:rsidRPr="008951BF">
        <w:rPr>
          <w:rFonts w:cs="Arial"/>
        </w:rPr>
        <w:t>For additional information, please contact:</w:t>
      </w:r>
    </w:p>
    <w:p w:rsidR="005E450C" w:rsidRPr="008951BF" w:rsidRDefault="00F9251B" w:rsidP="0065535F">
      <w:pPr>
        <w:ind w:left="709"/>
        <w:rPr>
          <w:rFonts w:cs="Arial"/>
          <w:lang w:val="en-US"/>
        </w:rPr>
      </w:pPr>
      <w:r w:rsidRPr="008951BF">
        <w:rPr>
          <w:rFonts w:cs="Arial"/>
        </w:rPr>
        <w:t>Ville Vuori</w:t>
      </w:r>
      <w:r w:rsidR="005E450C" w:rsidRPr="008951BF">
        <w:rPr>
          <w:rFonts w:cs="Arial"/>
        </w:rPr>
        <w:t xml:space="preserve">, President and CEO, tel. </w:t>
      </w:r>
      <w:r w:rsidR="007642F9" w:rsidRPr="008951BF">
        <w:rPr>
          <w:rFonts w:cs="Arial"/>
          <w:lang w:val="en-US"/>
        </w:rPr>
        <w:t>+</w:t>
      </w:r>
      <w:r w:rsidRPr="008951BF">
        <w:rPr>
          <w:rFonts w:cs="Arial"/>
          <w:lang w:val="en-US"/>
        </w:rPr>
        <w:t>358 400 369 438</w:t>
      </w:r>
    </w:p>
    <w:p w:rsidR="005E450C" w:rsidRPr="008951BF" w:rsidRDefault="005E450C" w:rsidP="0065535F">
      <w:pPr>
        <w:ind w:left="709"/>
        <w:rPr>
          <w:rFonts w:cs="Arial"/>
          <w:lang w:val="en-US"/>
        </w:rPr>
      </w:pPr>
      <w:r w:rsidRPr="008951BF">
        <w:rPr>
          <w:rFonts w:cs="Arial"/>
          <w:lang w:val="en-US"/>
        </w:rPr>
        <w:t>Kirsti Parvi, CFO, tel. +358 50 517 4569</w:t>
      </w:r>
    </w:p>
    <w:p w:rsidR="005E450C" w:rsidRPr="008951BF" w:rsidRDefault="005E450C" w:rsidP="0065535F">
      <w:pPr>
        <w:ind w:left="709"/>
        <w:rPr>
          <w:rFonts w:cs="Arial"/>
          <w:lang w:val="en-US"/>
        </w:rPr>
      </w:pPr>
    </w:p>
    <w:p w:rsidR="001C3A4D" w:rsidRDefault="001C3A4D" w:rsidP="0065535F">
      <w:pPr>
        <w:ind w:left="709"/>
        <w:rPr>
          <w:rFonts w:cs="Arial"/>
          <w:lang w:val="en-US"/>
        </w:rPr>
      </w:pPr>
    </w:p>
    <w:p w:rsidR="005E450C" w:rsidRPr="008951BF" w:rsidRDefault="005E450C" w:rsidP="0065535F">
      <w:pPr>
        <w:ind w:left="709"/>
        <w:rPr>
          <w:rFonts w:cs="Arial"/>
          <w:lang w:val="en-US"/>
        </w:rPr>
      </w:pPr>
      <w:r w:rsidRPr="008951BF">
        <w:rPr>
          <w:rFonts w:cs="Arial"/>
          <w:lang w:val="en-US"/>
        </w:rPr>
        <w:lastRenderedPageBreak/>
        <w:t>DISTRIBUTION</w:t>
      </w:r>
    </w:p>
    <w:p w:rsidR="005E450C" w:rsidRPr="008951BF" w:rsidRDefault="005E450C" w:rsidP="0065535F">
      <w:pPr>
        <w:ind w:left="709"/>
        <w:rPr>
          <w:rFonts w:cs="Arial"/>
          <w:lang w:val="en-US"/>
        </w:rPr>
      </w:pPr>
      <w:r w:rsidRPr="008951BF">
        <w:rPr>
          <w:rFonts w:cs="Arial"/>
          <w:lang w:val="en-US"/>
        </w:rPr>
        <w:t>NASDAQ OMX Helsinki Ltd</w:t>
      </w:r>
    </w:p>
    <w:p w:rsidR="005E450C" w:rsidRPr="008951BF" w:rsidRDefault="005E450C" w:rsidP="0065535F">
      <w:pPr>
        <w:ind w:left="709"/>
        <w:rPr>
          <w:rFonts w:cs="Arial"/>
        </w:rPr>
      </w:pPr>
      <w:r w:rsidRPr="008951BF">
        <w:rPr>
          <w:rFonts w:cs="Arial"/>
        </w:rPr>
        <w:t>Principal media</w:t>
      </w:r>
    </w:p>
    <w:p w:rsidR="005E450C" w:rsidRPr="008951BF" w:rsidRDefault="005E450C" w:rsidP="0065535F">
      <w:pPr>
        <w:ind w:left="709"/>
        <w:rPr>
          <w:rFonts w:cs="Arial"/>
        </w:rPr>
      </w:pPr>
      <w:r w:rsidRPr="008951BF">
        <w:rPr>
          <w:rFonts w:cs="Arial"/>
        </w:rPr>
        <w:t xml:space="preserve">The company’s home page </w:t>
      </w:r>
      <w:r w:rsidR="00DF6138" w:rsidRPr="008951BF">
        <w:rPr>
          <w:rFonts w:cs="Arial"/>
        </w:rPr>
        <w:t>www.incap</w:t>
      </w:r>
      <w:r w:rsidR="000E653B">
        <w:rPr>
          <w:rFonts w:cs="Arial"/>
        </w:rPr>
        <w:t>corp.com</w:t>
      </w:r>
    </w:p>
    <w:p w:rsidR="00DF6138" w:rsidRPr="008951BF" w:rsidRDefault="00DF6138" w:rsidP="0065535F">
      <w:pPr>
        <w:ind w:left="709"/>
        <w:rPr>
          <w:rFonts w:cs="Arial"/>
        </w:rPr>
      </w:pPr>
    </w:p>
    <w:p w:rsidR="00484933" w:rsidRPr="008951BF" w:rsidRDefault="00484933" w:rsidP="00484933">
      <w:pPr>
        <w:ind w:left="709"/>
        <w:rPr>
          <w:rFonts w:cs="Arial"/>
        </w:rPr>
      </w:pPr>
      <w:r w:rsidRPr="008951BF">
        <w:rPr>
          <w:rFonts w:cs="Arial"/>
        </w:rPr>
        <w:t>ANNEXES</w:t>
      </w:r>
    </w:p>
    <w:p w:rsidR="00484933" w:rsidRPr="008951BF" w:rsidRDefault="00484933" w:rsidP="00484933">
      <w:pPr>
        <w:ind w:left="709"/>
        <w:rPr>
          <w:rFonts w:cs="Arial"/>
        </w:rPr>
      </w:pPr>
      <w:r w:rsidRPr="008951BF">
        <w:rPr>
          <w:rFonts w:cs="Arial"/>
        </w:rPr>
        <w:t xml:space="preserve">1 Consolidated Statement of Comprehensive Income </w:t>
      </w:r>
    </w:p>
    <w:p w:rsidR="00484933" w:rsidRPr="008951BF" w:rsidRDefault="00484933" w:rsidP="00484933">
      <w:pPr>
        <w:ind w:left="709"/>
        <w:rPr>
          <w:rFonts w:cs="Arial"/>
        </w:rPr>
      </w:pPr>
      <w:r w:rsidRPr="008951BF">
        <w:rPr>
          <w:rFonts w:cs="Arial"/>
        </w:rPr>
        <w:t>2 Consolidated Balance Sheet</w:t>
      </w:r>
    </w:p>
    <w:p w:rsidR="00484933" w:rsidRPr="008951BF" w:rsidRDefault="00484933" w:rsidP="00484933">
      <w:pPr>
        <w:ind w:left="709"/>
        <w:rPr>
          <w:rFonts w:cs="Arial"/>
        </w:rPr>
      </w:pPr>
      <w:r w:rsidRPr="008951BF">
        <w:rPr>
          <w:rFonts w:cs="Arial"/>
        </w:rPr>
        <w:t xml:space="preserve">3 Consolidated Cash Flow </w:t>
      </w:r>
      <w:proofErr w:type="gramStart"/>
      <w:r w:rsidRPr="008951BF">
        <w:rPr>
          <w:rFonts w:cs="Arial"/>
        </w:rPr>
        <w:t>Statement</w:t>
      </w:r>
      <w:proofErr w:type="gramEnd"/>
    </w:p>
    <w:p w:rsidR="00484933" w:rsidRPr="008951BF" w:rsidRDefault="00484933" w:rsidP="00484933">
      <w:pPr>
        <w:ind w:left="709"/>
        <w:rPr>
          <w:rFonts w:cs="Arial"/>
        </w:rPr>
      </w:pPr>
      <w:r w:rsidRPr="008951BF">
        <w:rPr>
          <w:rFonts w:cs="Arial"/>
        </w:rPr>
        <w:t xml:space="preserve">4 Consolidated </w:t>
      </w:r>
      <w:proofErr w:type="gramStart"/>
      <w:r w:rsidRPr="008951BF">
        <w:rPr>
          <w:rFonts w:cs="Arial"/>
        </w:rPr>
        <w:t>Statement</w:t>
      </w:r>
      <w:proofErr w:type="gramEnd"/>
      <w:r w:rsidRPr="008951BF">
        <w:rPr>
          <w:rFonts w:cs="Arial"/>
        </w:rPr>
        <w:t xml:space="preserve"> of Changes in Equity</w:t>
      </w:r>
    </w:p>
    <w:p w:rsidR="00484933" w:rsidRPr="008951BF" w:rsidRDefault="00484933" w:rsidP="00484933">
      <w:pPr>
        <w:ind w:left="709"/>
        <w:rPr>
          <w:rFonts w:cs="Arial"/>
        </w:rPr>
      </w:pPr>
      <w:r w:rsidRPr="008951BF">
        <w:rPr>
          <w:rFonts w:cs="Arial"/>
        </w:rPr>
        <w:t>5 Group Key Figures and Contingent Liabilities</w:t>
      </w:r>
    </w:p>
    <w:p w:rsidR="00DF6138" w:rsidRPr="008951BF" w:rsidRDefault="00D339DA" w:rsidP="00484933">
      <w:pPr>
        <w:ind w:left="709"/>
        <w:rPr>
          <w:rFonts w:cs="Arial"/>
        </w:rPr>
      </w:pPr>
      <w:r>
        <w:rPr>
          <w:rFonts w:cs="Arial"/>
        </w:rPr>
        <w:t>6</w:t>
      </w:r>
      <w:r w:rsidR="00484933" w:rsidRPr="008951BF">
        <w:rPr>
          <w:rFonts w:cs="Arial"/>
        </w:rPr>
        <w:t xml:space="preserve"> Calculations of Key Figures</w:t>
      </w:r>
    </w:p>
    <w:p w:rsidR="00484933" w:rsidRPr="008951BF" w:rsidRDefault="00484933" w:rsidP="00484933">
      <w:pPr>
        <w:ind w:left="709"/>
        <w:rPr>
          <w:rFonts w:cs="Arial"/>
        </w:rPr>
      </w:pPr>
    </w:p>
    <w:p w:rsidR="005E450C" w:rsidRPr="008951BF" w:rsidRDefault="005E450C" w:rsidP="0065535F">
      <w:pPr>
        <w:ind w:left="709"/>
        <w:rPr>
          <w:rFonts w:cs="Arial"/>
        </w:rPr>
      </w:pPr>
    </w:p>
    <w:p w:rsidR="00D21574" w:rsidRPr="008951BF" w:rsidRDefault="00B10945" w:rsidP="00DF6138">
      <w:pPr>
        <w:spacing w:before="60" w:after="210" w:line="225" w:lineRule="atLeast"/>
        <w:ind w:left="709"/>
        <w:rPr>
          <w:rFonts w:cs="Arial"/>
          <w:i/>
          <w:iCs/>
          <w:lang w:val="en-US"/>
        </w:rPr>
      </w:pPr>
      <w:r w:rsidRPr="00CF3D7D">
        <w:rPr>
          <w:rFonts w:cs="Arial"/>
          <w:i/>
          <w:iCs/>
          <w:lang w:val="en-US"/>
        </w:rPr>
        <w:t>I</w:t>
      </w:r>
      <w:r w:rsidR="00D21574" w:rsidRPr="00CF3D7D">
        <w:rPr>
          <w:rFonts w:cs="Arial"/>
          <w:i/>
          <w:iCs/>
          <w:lang w:val="en-US"/>
        </w:rPr>
        <w:t>NCAP IN BRIEF</w:t>
      </w:r>
      <w:r w:rsidR="00DF6138" w:rsidRPr="008951BF">
        <w:rPr>
          <w:rFonts w:cs="Arial"/>
          <w:lang w:val="en-US"/>
        </w:rPr>
        <w:br/>
      </w:r>
      <w:proofErr w:type="spellStart"/>
      <w:r w:rsidR="00D21574" w:rsidRPr="008951BF">
        <w:rPr>
          <w:rFonts w:cs="Arial"/>
          <w:i/>
          <w:iCs/>
          <w:lang w:val="en-US"/>
        </w:rPr>
        <w:t>Incap</w:t>
      </w:r>
      <w:proofErr w:type="spellEnd"/>
      <w:r w:rsidR="00D21574" w:rsidRPr="008951BF">
        <w:rPr>
          <w:rFonts w:cs="Arial"/>
          <w:i/>
          <w:iCs/>
          <w:lang w:val="en-US"/>
        </w:rPr>
        <w:t xml:space="preserve"> Corporation is an international contract manufacturer whose comprehensive services cover the entire life-cycle of electromechanical products from design and sourcing to actual manufacture and further to maintenance services. </w:t>
      </w:r>
      <w:proofErr w:type="spellStart"/>
      <w:r w:rsidR="00D21574" w:rsidRPr="008951BF">
        <w:rPr>
          <w:rFonts w:cs="Arial"/>
          <w:i/>
          <w:iCs/>
          <w:lang w:val="en-US"/>
        </w:rPr>
        <w:t>Incap's</w:t>
      </w:r>
      <w:proofErr w:type="spellEnd"/>
      <w:r w:rsidR="00D21574" w:rsidRPr="008951BF">
        <w:rPr>
          <w:rFonts w:cs="Arial"/>
          <w:i/>
          <w:iCs/>
          <w:lang w:val="en-US"/>
        </w:rPr>
        <w:t xml:space="preserve"> customers are leading suppliers of high-technology equipment in their own business segments, and </w:t>
      </w:r>
      <w:proofErr w:type="spellStart"/>
      <w:r w:rsidR="00D21574" w:rsidRPr="008951BF">
        <w:rPr>
          <w:rFonts w:cs="Arial"/>
          <w:i/>
          <w:iCs/>
          <w:lang w:val="en-US"/>
        </w:rPr>
        <w:t>Incap</w:t>
      </w:r>
      <w:proofErr w:type="spellEnd"/>
      <w:r w:rsidR="00D21574" w:rsidRPr="008951BF">
        <w:rPr>
          <w:rFonts w:cs="Arial"/>
          <w:i/>
          <w:iCs/>
          <w:lang w:val="en-US"/>
        </w:rPr>
        <w:t xml:space="preserve"> increases their competitiveness as a strategic partner. </w:t>
      </w:r>
      <w:proofErr w:type="spellStart"/>
      <w:r w:rsidR="00D21574" w:rsidRPr="008951BF">
        <w:rPr>
          <w:rFonts w:cs="Arial"/>
          <w:i/>
          <w:iCs/>
          <w:lang w:val="en-US"/>
        </w:rPr>
        <w:t>Incap</w:t>
      </w:r>
      <w:proofErr w:type="spellEnd"/>
      <w:r w:rsidR="00D21574" w:rsidRPr="008951BF">
        <w:rPr>
          <w:rFonts w:cs="Arial"/>
          <w:i/>
          <w:iCs/>
          <w:lang w:val="en-US"/>
        </w:rPr>
        <w:t xml:space="preserve"> has operations in Finland, Estonia, India and China. The company currently employs approximately </w:t>
      </w:r>
      <w:r w:rsidR="00821BA8">
        <w:rPr>
          <w:rFonts w:cs="Arial"/>
          <w:i/>
          <w:iCs/>
          <w:lang w:val="en-US"/>
        </w:rPr>
        <w:t>400</w:t>
      </w:r>
      <w:r w:rsidR="00F9251B" w:rsidRPr="008951BF">
        <w:rPr>
          <w:rFonts w:cs="Arial"/>
          <w:i/>
          <w:iCs/>
          <w:lang w:val="en-US"/>
        </w:rPr>
        <w:t xml:space="preserve"> </w:t>
      </w:r>
      <w:r w:rsidR="00D21574" w:rsidRPr="008951BF">
        <w:rPr>
          <w:rFonts w:cs="Arial"/>
          <w:i/>
          <w:iCs/>
          <w:lang w:val="en-US"/>
        </w:rPr>
        <w:t xml:space="preserve">people. </w:t>
      </w:r>
      <w:proofErr w:type="spellStart"/>
      <w:r w:rsidR="00D21574" w:rsidRPr="008951BF">
        <w:rPr>
          <w:rFonts w:cs="Arial"/>
          <w:i/>
          <w:iCs/>
          <w:lang w:val="en-US"/>
        </w:rPr>
        <w:t>Incap's</w:t>
      </w:r>
      <w:proofErr w:type="spellEnd"/>
      <w:r w:rsidR="00D21574" w:rsidRPr="008951BF">
        <w:rPr>
          <w:rFonts w:cs="Arial"/>
          <w:i/>
          <w:iCs/>
          <w:lang w:val="en-US"/>
        </w:rPr>
        <w:t xml:space="preserve"> share </w:t>
      </w:r>
      <w:r w:rsidR="00F9251B" w:rsidRPr="008951BF">
        <w:rPr>
          <w:rFonts w:cs="Arial"/>
          <w:i/>
          <w:iCs/>
          <w:lang w:val="en-US"/>
        </w:rPr>
        <w:t>is</w:t>
      </w:r>
      <w:r w:rsidR="00D21574" w:rsidRPr="008951BF">
        <w:rPr>
          <w:rFonts w:cs="Arial"/>
          <w:i/>
          <w:iCs/>
          <w:lang w:val="en-US"/>
        </w:rPr>
        <w:t xml:space="preserve"> listed</w:t>
      </w:r>
      <w:r w:rsidR="00DF6138" w:rsidRPr="008951BF">
        <w:rPr>
          <w:rFonts w:cs="Arial"/>
          <w:i/>
          <w:iCs/>
          <w:lang w:val="en-US"/>
        </w:rPr>
        <w:t xml:space="preserve"> on the NASDAQ OMX Helsinki Ltd. since 1997.</w:t>
      </w:r>
      <w:r w:rsidR="00D21574" w:rsidRPr="008951BF">
        <w:rPr>
          <w:rFonts w:cs="Arial"/>
          <w:i/>
          <w:iCs/>
          <w:lang w:val="en-US"/>
        </w:rPr>
        <w:t xml:space="preserve"> Additional information: </w:t>
      </w:r>
      <w:r w:rsidR="00DF6138" w:rsidRPr="00F92D66">
        <w:rPr>
          <w:rFonts w:cs="Arial"/>
          <w:i/>
          <w:iCs/>
          <w:lang w:val="en-US"/>
        </w:rPr>
        <w:t>www.incap</w:t>
      </w:r>
      <w:r w:rsidR="000E653B">
        <w:rPr>
          <w:rFonts w:cs="Arial"/>
          <w:i/>
          <w:iCs/>
          <w:lang w:val="en-US"/>
        </w:rPr>
        <w:t>corp.com.</w:t>
      </w:r>
    </w:p>
    <w:p w:rsidR="003E3697" w:rsidRDefault="003E3697">
      <w:pPr>
        <w:rPr>
          <w:rFonts w:cs="Arial"/>
          <w:i/>
          <w:iCs/>
          <w:lang w:val="en-US"/>
        </w:rPr>
      </w:pPr>
      <w:r>
        <w:rPr>
          <w:rFonts w:cs="Arial"/>
          <w:i/>
          <w:iCs/>
          <w:lang w:val="en-US"/>
        </w:rPr>
        <w:br w:type="page"/>
      </w:r>
    </w:p>
    <w:p w:rsidR="00484933" w:rsidRPr="008951BF" w:rsidRDefault="00484933" w:rsidP="00DC694B">
      <w:pPr>
        <w:ind w:left="284"/>
        <w:rPr>
          <w:rFonts w:cs="Arial"/>
          <w:iCs/>
          <w:lang w:val="en-US"/>
        </w:rPr>
      </w:pPr>
      <w:r w:rsidRPr="008951BF">
        <w:rPr>
          <w:rFonts w:cs="Arial"/>
          <w:iCs/>
          <w:lang w:val="en-US"/>
        </w:rPr>
        <w:lastRenderedPageBreak/>
        <w:t>Annex 1</w:t>
      </w:r>
    </w:p>
    <w:p w:rsidR="005E450C" w:rsidRPr="003A6ECF" w:rsidRDefault="00484933" w:rsidP="00DC694B">
      <w:pPr>
        <w:ind w:left="284"/>
        <w:rPr>
          <w:rFonts w:cs="Arial"/>
          <w:b/>
          <w:iCs/>
          <w:lang w:val="en-US"/>
        </w:rPr>
      </w:pPr>
      <w:r w:rsidRPr="003A6ECF">
        <w:rPr>
          <w:rFonts w:cs="Arial"/>
          <w:b/>
          <w:iCs/>
          <w:lang w:val="en-US"/>
        </w:rPr>
        <w:t>CONSOLIDATED STATEMENT OF COMPREHENSIVE INCOME</w:t>
      </w:r>
      <w:r w:rsidR="00645FE9" w:rsidRPr="003A6ECF">
        <w:rPr>
          <w:rFonts w:cs="Arial"/>
          <w:b/>
          <w:iCs/>
          <w:lang w:val="en-US"/>
        </w:rPr>
        <w:t xml:space="preserve"> (IFRS), CONTINUING OPE</w:t>
      </w:r>
      <w:r w:rsidR="003E3697" w:rsidRPr="003A6ECF">
        <w:rPr>
          <w:rFonts w:cs="Arial"/>
          <w:b/>
          <w:iCs/>
          <w:lang w:val="en-US"/>
        </w:rPr>
        <w:t>RATIONS</w:t>
      </w:r>
    </w:p>
    <w:p w:rsidR="00484933" w:rsidRPr="008951BF" w:rsidRDefault="00484933" w:rsidP="00484933">
      <w:pPr>
        <w:ind w:left="709"/>
        <w:rPr>
          <w:rFonts w:cs="Arial"/>
        </w:rPr>
      </w:pPr>
    </w:p>
    <w:tbl>
      <w:tblPr>
        <w:tblStyle w:val="TableSimple1"/>
        <w:tblW w:w="9922" w:type="dxa"/>
        <w:tblLayout w:type="fixed"/>
        <w:tblLook w:val="04A0" w:firstRow="1" w:lastRow="0" w:firstColumn="1" w:lastColumn="0" w:noHBand="0" w:noVBand="1"/>
      </w:tblPr>
      <w:tblGrid>
        <w:gridCol w:w="3685"/>
        <w:gridCol w:w="1247"/>
        <w:gridCol w:w="1247"/>
        <w:gridCol w:w="1248"/>
        <w:gridCol w:w="1247"/>
        <w:gridCol w:w="1248"/>
      </w:tblGrid>
      <w:tr w:rsidR="00CF3D7D" w:rsidRPr="008951BF" w:rsidTr="00CF3D7D">
        <w:trPr>
          <w:cnfStyle w:val="100000000000" w:firstRow="1" w:lastRow="0" w:firstColumn="0" w:lastColumn="0" w:oddVBand="0" w:evenVBand="0" w:oddHBand="0" w:evenHBand="0" w:firstRowFirstColumn="0" w:firstRowLastColumn="0" w:lastRowFirstColumn="0" w:lastRowLastColumn="0"/>
          <w:trHeight w:val="225"/>
        </w:trPr>
        <w:tc>
          <w:tcPr>
            <w:tcW w:w="3685" w:type="dxa"/>
            <w:noWrap/>
            <w:vAlign w:val="center"/>
            <w:hideMark/>
          </w:tcPr>
          <w:p w:rsidR="00CF3D7D" w:rsidRPr="00237177" w:rsidRDefault="00CF3D7D" w:rsidP="00CF3D7D">
            <w:pPr>
              <w:ind w:left="426"/>
              <w:rPr>
                <w:rFonts w:cs="Arial"/>
                <w:sz w:val="20"/>
                <w:lang w:val="en-US" w:eastAsia="fi-FI"/>
              </w:rPr>
            </w:pPr>
          </w:p>
          <w:p w:rsidR="00CF3D7D" w:rsidRPr="00721976" w:rsidRDefault="00CF3D7D" w:rsidP="00CF3D7D">
            <w:pPr>
              <w:ind w:left="426"/>
              <w:rPr>
                <w:rFonts w:cs="Arial"/>
                <w:sz w:val="20"/>
                <w:lang w:val="fi-FI" w:eastAsia="fi-FI"/>
              </w:rPr>
            </w:pPr>
            <w:r w:rsidRPr="00721976">
              <w:rPr>
                <w:rFonts w:cs="Arial"/>
                <w:sz w:val="20"/>
                <w:lang w:val="fi-FI" w:eastAsia="fi-FI"/>
              </w:rPr>
              <w:t xml:space="preserve">(1,000 </w:t>
            </w:r>
            <w:proofErr w:type="spellStart"/>
            <w:r w:rsidRPr="00721976">
              <w:rPr>
                <w:rFonts w:cs="Arial"/>
                <w:sz w:val="20"/>
                <w:lang w:val="fi-FI" w:eastAsia="fi-FI"/>
              </w:rPr>
              <w:t>euros</w:t>
            </w:r>
            <w:proofErr w:type="spellEnd"/>
            <w:r w:rsidRPr="00721976">
              <w:rPr>
                <w:rFonts w:cs="Arial"/>
                <w:sz w:val="20"/>
                <w:lang w:val="fi-FI" w:eastAsia="fi-FI"/>
              </w:rPr>
              <w:t xml:space="preserve">, </w:t>
            </w:r>
            <w:proofErr w:type="spellStart"/>
            <w:r w:rsidRPr="00721976">
              <w:rPr>
                <w:rFonts w:cs="Arial"/>
                <w:sz w:val="20"/>
                <w:lang w:val="fi-FI" w:eastAsia="fi-FI"/>
              </w:rPr>
              <w:t>unaudited</w:t>
            </w:r>
            <w:proofErr w:type="spellEnd"/>
            <w:r w:rsidRPr="00721976">
              <w:rPr>
                <w:rFonts w:cs="Arial"/>
                <w:sz w:val="20"/>
                <w:lang w:val="fi-FI" w:eastAsia="fi-FI"/>
              </w:rPr>
              <w:t>)</w:t>
            </w:r>
          </w:p>
        </w:tc>
        <w:tc>
          <w:tcPr>
            <w:tcW w:w="1247" w:type="dxa"/>
            <w:vAlign w:val="center"/>
          </w:tcPr>
          <w:p w:rsidR="00CF3D7D" w:rsidRPr="0019732C" w:rsidRDefault="00CF3D7D" w:rsidP="00CF3D7D">
            <w:pPr>
              <w:jc w:val="right"/>
              <w:rPr>
                <w:rFonts w:cs="Arial"/>
                <w:color w:val="000000"/>
                <w:sz w:val="20"/>
                <w:szCs w:val="20"/>
              </w:rPr>
            </w:pPr>
            <w:r w:rsidRPr="0019732C">
              <w:rPr>
                <w:rFonts w:cs="Arial"/>
                <w:color w:val="000000"/>
                <w:sz w:val="20"/>
                <w:szCs w:val="20"/>
              </w:rPr>
              <w:t>1-6/2015</w:t>
            </w:r>
          </w:p>
        </w:tc>
        <w:tc>
          <w:tcPr>
            <w:tcW w:w="1247" w:type="dxa"/>
            <w:vAlign w:val="center"/>
          </w:tcPr>
          <w:p w:rsidR="00CF3D7D" w:rsidRPr="0019732C" w:rsidRDefault="00CF3D7D" w:rsidP="00CF3D7D">
            <w:pPr>
              <w:jc w:val="right"/>
              <w:rPr>
                <w:rFonts w:cs="Arial"/>
                <w:color w:val="000000"/>
                <w:sz w:val="20"/>
                <w:szCs w:val="20"/>
              </w:rPr>
            </w:pPr>
            <w:r w:rsidRPr="0019732C">
              <w:rPr>
                <w:rFonts w:cs="Arial"/>
                <w:color w:val="000000"/>
                <w:sz w:val="20"/>
                <w:szCs w:val="20"/>
              </w:rPr>
              <w:t>1-6/2014</w:t>
            </w:r>
          </w:p>
        </w:tc>
        <w:tc>
          <w:tcPr>
            <w:tcW w:w="1248" w:type="dxa"/>
            <w:vAlign w:val="center"/>
          </w:tcPr>
          <w:p w:rsidR="00CF3D7D" w:rsidRPr="0019732C" w:rsidRDefault="00CF3D7D" w:rsidP="00CF3D7D">
            <w:pPr>
              <w:jc w:val="right"/>
              <w:rPr>
                <w:rFonts w:cs="Arial"/>
                <w:color w:val="000000"/>
                <w:sz w:val="20"/>
                <w:szCs w:val="20"/>
              </w:rPr>
            </w:pPr>
            <w:r>
              <w:rPr>
                <w:rFonts w:cs="Arial"/>
                <w:color w:val="000000"/>
                <w:sz w:val="20"/>
                <w:szCs w:val="20"/>
              </w:rPr>
              <w:t>Change,</w:t>
            </w:r>
            <w:r w:rsidRPr="0019732C">
              <w:rPr>
                <w:rFonts w:cs="Arial"/>
                <w:color w:val="000000"/>
                <w:sz w:val="20"/>
                <w:szCs w:val="20"/>
              </w:rPr>
              <w:t xml:space="preserve"> %</w:t>
            </w:r>
          </w:p>
        </w:tc>
        <w:tc>
          <w:tcPr>
            <w:tcW w:w="1247" w:type="dxa"/>
            <w:vAlign w:val="center"/>
          </w:tcPr>
          <w:p w:rsidR="00CF3D7D" w:rsidRPr="0019732C" w:rsidRDefault="00CF3D7D" w:rsidP="00CF3D7D">
            <w:pPr>
              <w:jc w:val="right"/>
              <w:rPr>
                <w:rFonts w:cs="Arial"/>
                <w:color w:val="000000"/>
                <w:sz w:val="20"/>
                <w:szCs w:val="20"/>
              </w:rPr>
            </w:pPr>
            <w:r w:rsidRPr="0019732C">
              <w:rPr>
                <w:rFonts w:cs="Arial"/>
                <w:color w:val="000000"/>
                <w:sz w:val="20"/>
                <w:szCs w:val="20"/>
              </w:rPr>
              <w:t>7-12/2014</w:t>
            </w:r>
          </w:p>
        </w:tc>
        <w:tc>
          <w:tcPr>
            <w:tcW w:w="1248" w:type="dxa"/>
            <w:vAlign w:val="center"/>
          </w:tcPr>
          <w:p w:rsidR="00CF3D7D" w:rsidRPr="0019732C" w:rsidRDefault="00CF3D7D" w:rsidP="00CF3D7D">
            <w:pPr>
              <w:jc w:val="right"/>
              <w:rPr>
                <w:rFonts w:cs="Arial"/>
                <w:color w:val="000000"/>
                <w:sz w:val="20"/>
                <w:szCs w:val="20"/>
              </w:rPr>
            </w:pPr>
            <w:r w:rsidRPr="0019732C">
              <w:rPr>
                <w:rFonts w:cs="Arial"/>
                <w:color w:val="000000"/>
                <w:sz w:val="20"/>
                <w:szCs w:val="20"/>
              </w:rPr>
              <w:t>1-12/2014</w:t>
            </w:r>
          </w:p>
        </w:tc>
      </w:tr>
      <w:tr w:rsidR="00CF3D7D" w:rsidRPr="008951BF" w:rsidTr="00CF3D7D">
        <w:trPr>
          <w:trHeight w:val="225"/>
        </w:trPr>
        <w:tc>
          <w:tcPr>
            <w:tcW w:w="3685" w:type="dxa"/>
            <w:noWrap/>
            <w:vAlign w:val="center"/>
          </w:tcPr>
          <w:p w:rsidR="00CF3D7D" w:rsidRPr="00721976" w:rsidRDefault="00CF3D7D" w:rsidP="00CF3D7D">
            <w:pPr>
              <w:rPr>
                <w:rFonts w:cs="Arial"/>
                <w:sz w:val="20"/>
                <w:lang w:val="fi-FI" w:eastAsia="fi-FI"/>
              </w:rPr>
            </w:pPr>
          </w:p>
        </w:tc>
        <w:tc>
          <w:tcPr>
            <w:tcW w:w="1247" w:type="dxa"/>
            <w:vAlign w:val="bottom"/>
          </w:tcPr>
          <w:p w:rsidR="00CF3D7D" w:rsidRPr="0019732C" w:rsidRDefault="00CF3D7D" w:rsidP="00CF3D7D">
            <w:pPr>
              <w:jc w:val="right"/>
              <w:rPr>
                <w:rFonts w:cs="Arial"/>
                <w:color w:val="000000"/>
                <w:sz w:val="20"/>
                <w:szCs w:val="20"/>
              </w:rPr>
            </w:pPr>
          </w:p>
        </w:tc>
        <w:tc>
          <w:tcPr>
            <w:tcW w:w="1247" w:type="dxa"/>
            <w:vAlign w:val="bottom"/>
          </w:tcPr>
          <w:p w:rsidR="00CF3D7D" w:rsidRPr="0019732C" w:rsidRDefault="00CF3D7D" w:rsidP="00CF3D7D">
            <w:pPr>
              <w:jc w:val="right"/>
              <w:rPr>
                <w:rFonts w:cs="Arial"/>
                <w:color w:val="000000"/>
                <w:sz w:val="20"/>
                <w:szCs w:val="20"/>
              </w:rPr>
            </w:pPr>
          </w:p>
        </w:tc>
        <w:tc>
          <w:tcPr>
            <w:tcW w:w="1248" w:type="dxa"/>
            <w:vAlign w:val="bottom"/>
          </w:tcPr>
          <w:p w:rsidR="00CF3D7D" w:rsidRDefault="00CF3D7D" w:rsidP="00CF3D7D">
            <w:pPr>
              <w:jc w:val="right"/>
              <w:rPr>
                <w:rFonts w:cs="Arial"/>
                <w:color w:val="000000"/>
                <w:sz w:val="20"/>
                <w:szCs w:val="20"/>
              </w:rPr>
            </w:pPr>
          </w:p>
        </w:tc>
        <w:tc>
          <w:tcPr>
            <w:tcW w:w="1247" w:type="dxa"/>
            <w:vAlign w:val="bottom"/>
          </w:tcPr>
          <w:p w:rsidR="00CF3D7D" w:rsidRPr="0019732C" w:rsidRDefault="00CF3D7D" w:rsidP="00CF3D7D">
            <w:pPr>
              <w:jc w:val="right"/>
              <w:rPr>
                <w:rFonts w:cs="Arial"/>
                <w:color w:val="000000"/>
                <w:sz w:val="20"/>
                <w:szCs w:val="20"/>
              </w:rPr>
            </w:pPr>
          </w:p>
        </w:tc>
        <w:tc>
          <w:tcPr>
            <w:tcW w:w="1248" w:type="dxa"/>
            <w:vAlign w:val="bottom"/>
          </w:tcPr>
          <w:p w:rsidR="00CF3D7D" w:rsidRPr="0019732C" w:rsidRDefault="00CF3D7D" w:rsidP="00CF3D7D">
            <w:pPr>
              <w:jc w:val="right"/>
              <w:rPr>
                <w:rFonts w:cs="Arial"/>
                <w:color w:val="000000"/>
                <w:sz w:val="20"/>
                <w:szCs w:val="20"/>
              </w:rPr>
            </w:pPr>
          </w:p>
        </w:tc>
      </w:tr>
      <w:tr w:rsidR="00DF6138" w:rsidRPr="008951BF" w:rsidTr="00CF3D7D">
        <w:trPr>
          <w:trHeight w:val="398"/>
        </w:trPr>
        <w:tc>
          <w:tcPr>
            <w:tcW w:w="3685" w:type="dxa"/>
            <w:noWrap/>
            <w:vAlign w:val="center"/>
          </w:tcPr>
          <w:p w:rsidR="00DF6138" w:rsidRPr="00721976" w:rsidRDefault="00DF6138" w:rsidP="00DC694B">
            <w:pPr>
              <w:ind w:left="426"/>
              <w:rPr>
                <w:rFonts w:cs="Arial"/>
                <w:sz w:val="20"/>
                <w:lang w:val="fi-FI" w:eastAsia="fi-FI"/>
              </w:rPr>
            </w:pPr>
          </w:p>
        </w:tc>
        <w:tc>
          <w:tcPr>
            <w:tcW w:w="1247" w:type="dxa"/>
          </w:tcPr>
          <w:p w:rsidR="00DF6138" w:rsidRPr="008951BF" w:rsidRDefault="00DF6138" w:rsidP="008951BF">
            <w:pPr>
              <w:ind w:left="426"/>
              <w:jc w:val="right"/>
              <w:rPr>
                <w:rFonts w:cs="Arial"/>
                <w:b/>
                <w:lang w:val="fi-FI" w:eastAsia="fi-FI"/>
              </w:rPr>
            </w:pPr>
          </w:p>
        </w:tc>
        <w:tc>
          <w:tcPr>
            <w:tcW w:w="1247" w:type="dxa"/>
          </w:tcPr>
          <w:p w:rsidR="00DF6138" w:rsidRPr="008951BF" w:rsidRDefault="00DF6138" w:rsidP="008951BF">
            <w:pPr>
              <w:ind w:left="426"/>
              <w:jc w:val="right"/>
              <w:rPr>
                <w:rFonts w:cs="Arial"/>
                <w:lang w:val="fi-FI" w:eastAsia="fi-FI"/>
              </w:rPr>
            </w:pPr>
          </w:p>
        </w:tc>
        <w:tc>
          <w:tcPr>
            <w:tcW w:w="1248" w:type="dxa"/>
          </w:tcPr>
          <w:p w:rsidR="00DF6138" w:rsidRPr="008951BF" w:rsidRDefault="00DF6138" w:rsidP="008951BF">
            <w:pPr>
              <w:ind w:left="426"/>
              <w:jc w:val="right"/>
              <w:rPr>
                <w:rFonts w:cs="Arial"/>
                <w:b/>
                <w:lang w:val="fi-FI" w:eastAsia="fi-FI"/>
              </w:rPr>
            </w:pPr>
          </w:p>
        </w:tc>
        <w:tc>
          <w:tcPr>
            <w:tcW w:w="1247" w:type="dxa"/>
          </w:tcPr>
          <w:p w:rsidR="00DF6138" w:rsidRPr="008951BF" w:rsidRDefault="00DF6138" w:rsidP="008951BF">
            <w:pPr>
              <w:ind w:left="426"/>
              <w:jc w:val="right"/>
              <w:rPr>
                <w:rFonts w:cs="Arial"/>
                <w:lang w:val="fi-FI" w:eastAsia="fi-FI"/>
              </w:rPr>
            </w:pPr>
          </w:p>
        </w:tc>
        <w:tc>
          <w:tcPr>
            <w:tcW w:w="1248" w:type="dxa"/>
          </w:tcPr>
          <w:p w:rsidR="00DF6138" w:rsidRPr="008951BF" w:rsidRDefault="00DF6138" w:rsidP="008951BF">
            <w:pPr>
              <w:ind w:left="426"/>
              <w:jc w:val="right"/>
              <w:rPr>
                <w:rFonts w:cs="Arial"/>
                <w:lang w:val="fi-FI" w:eastAsia="fi-FI"/>
              </w:rPr>
            </w:pPr>
          </w:p>
        </w:tc>
      </w:tr>
      <w:tr w:rsidR="00CF3D7D" w:rsidRPr="008951BF" w:rsidTr="00CF3D7D">
        <w:trPr>
          <w:trHeight w:val="356"/>
        </w:trPr>
        <w:tc>
          <w:tcPr>
            <w:tcW w:w="3685" w:type="dxa"/>
            <w:noWrap/>
            <w:vAlign w:val="center"/>
            <w:hideMark/>
          </w:tcPr>
          <w:p w:rsidR="00CF3D7D" w:rsidRPr="00721976" w:rsidRDefault="00CF3D7D" w:rsidP="00DC694B">
            <w:pPr>
              <w:ind w:left="426"/>
              <w:rPr>
                <w:rFonts w:cs="Arial"/>
                <w:sz w:val="20"/>
                <w:lang w:val="fi-FI" w:eastAsia="fi-FI"/>
              </w:rPr>
            </w:pPr>
            <w:r w:rsidRPr="00721976">
              <w:rPr>
                <w:rFonts w:cs="Arial"/>
                <w:sz w:val="20"/>
                <w:lang w:val="fi-FI" w:eastAsia="fi-FI"/>
              </w:rPr>
              <w:t>REVENUE</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13</w:t>
            </w:r>
            <w:r w:rsidR="008C4D25">
              <w:rPr>
                <w:rFonts w:cs="Arial"/>
                <w:color w:val="000000"/>
                <w:sz w:val="20"/>
                <w:szCs w:val="20"/>
              </w:rPr>
              <w:t>,</w:t>
            </w:r>
            <w:r w:rsidRPr="0019732C">
              <w:rPr>
                <w:rFonts w:cs="Arial"/>
                <w:color w:val="000000"/>
                <w:sz w:val="20"/>
                <w:szCs w:val="20"/>
              </w:rPr>
              <w:t>254</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8</w:t>
            </w:r>
            <w:r w:rsidR="008C4D25">
              <w:rPr>
                <w:rFonts w:cs="Arial"/>
                <w:color w:val="000000"/>
                <w:sz w:val="20"/>
                <w:szCs w:val="20"/>
              </w:rPr>
              <w:t>,</w:t>
            </w:r>
            <w:r w:rsidRPr="0019732C">
              <w:rPr>
                <w:rFonts w:cs="Arial"/>
                <w:color w:val="000000"/>
                <w:sz w:val="20"/>
                <w:szCs w:val="20"/>
              </w:rPr>
              <w:t>155</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63</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10</w:t>
            </w:r>
            <w:r w:rsidR="008C4D25">
              <w:rPr>
                <w:rFonts w:cs="Arial"/>
                <w:color w:val="000000"/>
                <w:sz w:val="20"/>
                <w:szCs w:val="20"/>
              </w:rPr>
              <w:t>,</w:t>
            </w:r>
            <w:r w:rsidRPr="0019732C">
              <w:rPr>
                <w:rFonts w:cs="Arial"/>
                <w:color w:val="000000"/>
                <w:sz w:val="20"/>
                <w:szCs w:val="20"/>
              </w:rPr>
              <w:t>345</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18</w:t>
            </w:r>
            <w:r w:rsidR="008C4D25">
              <w:rPr>
                <w:rFonts w:cs="Arial"/>
                <w:color w:val="000000"/>
                <w:sz w:val="20"/>
                <w:szCs w:val="20"/>
              </w:rPr>
              <w:t>,</w:t>
            </w:r>
            <w:r w:rsidRPr="0019732C">
              <w:rPr>
                <w:rFonts w:cs="Arial"/>
                <w:color w:val="000000"/>
                <w:sz w:val="20"/>
                <w:szCs w:val="20"/>
              </w:rPr>
              <w:t>499</w:t>
            </w:r>
          </w:p>
        </w:tc>
      </w:tr>
      <w:tr w:rsidR="00CF3D7D" w:rsidRPr="008951BF" w:rsidTr="00CF3D7D">
        <w:trPr>
          <w:trHeight w:val="225"/>
        </w:trPr>
        <w:tc>
          <w:tcPr>
            <w:tcW w:w="3685" w:type="dxa"/>
            <w:noWrap/>
            <w:vAlign w:val="center"/>
            <w:hideMark/>
          </w:tcPr>
          <w:p w:rsidR="00CF3D7D" w:rsidRPr="00721976" w:rsidRDefault="00CF3D7D" w:rsidP="00DC694B">
            <w:pPr>
              <w:ind w:left="426"/>
              <w:rPr>
                <w:rFonts w:cs="Arial"/>
                <w:sz w:val="20"/>
                <w:lang w:val="en-US" w:eastAsia="fi-FI"/>
              </w:rPr>
            </w:pPr>
            <w:r w:rsidRPr="00721976">
              <w:rPr>
                <w:rFonts w:cs="Arial"/>
                <w:sz w:val="20"/>
                <w:lang w:val="en-US" w:eastAsia="fi-FI"/>
              </w:rPr>
              <w:t xml:space="preserve">Work performed by the enterprise and </w:t>
            </w:r>
            <w:proofErr w:type="spellStart"/>
            <w:r w:rsidRPr="00721976">
              <w:rPr>
                <w:rFonts w:cs="Arial"/>
                <w:sz w:val="20"/>
                <w:lang w:val="en-US" w:eastAsia="fi-FI"/>
              </w:rPr>
              <w:t>capitalised</w:t>
            </w:r>
            <w:proofErr w:type="spellEnd"/>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0</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0</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0</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0</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0</w:t>
            </w:r>
          </w:p>
        </w:tc>
      </w:tr>
      <w:tr w:rsidR="00CF3D7D" w:rsidRPr="008951BF" w:rsidTr="00CF3D7D">
        <w:trPr>
          <w:trHeight w:val="463"/>
        </w:trPr>
        <w:tc>
          <w:tcPr>
            <w:tcW w:w="3685" w:type="dxa"/>
            <w:noWrap/>
            <w:vAlign w:val="center"/>
            <w:hideMark/>
          </w:tcPr>
          <w:p w:rsidR="00CF3D7D" w:rsidRPr="00721976" w:rsidRDefault="00CF3D7D" w:rsidP="00DC694B">
            <w:pPr>
              <w:ind w:left="426"/>
              <w:rPr>
                <w:rFonts w:cs="Arial"/>
                <w:sz w:val="20"/>
                <w:lang w:val="en-US" w:eastAsia="fi-FI"/>
              </w:rPr>
            </w:pPr>
            <w:r w:rsidRPr="00721976">
              <w:rPr>
                <w:rFonts w:cs="Arial"/>
                <w:sz w:val="20"/>
                <w:lang w:val="en-US" w:eastAsia="fi-FI"/>
              </w:rPr>
              <w:t>Change in inventories of finished goods</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195</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-87</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326</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-73</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-159</w:t>
            </w:r>
          </w:p>
        </w:tc>
      </w:tr>
      <w:tr w:rsidR="00CF3D7D" w:rsidRPr="008951BF" w:rsidTr="00CF3D7D">
        <w:trPr>
          <w:trHeight w:val="225"/>
        </w:trPr>
        <w:tc>
          <w:tcPr>
            <w:tcW w:w="3685" w:type="dxa"/>
            <w:noWrap/>
            <w:vAlign w:val="center"/>
            <w:hideMark/>
          </w:tcPr>
          <w:p w:rsidR="00CF3D7D" w:rsidRPr="00721976" w:rsidRDefault="00CF3D7D" w:rsidP="00DC694B">
            <w:pPr>
              <w:ind w:left="426"/>
              <w:rPr>
                <w:rFonts w:cs="Arial"/>
                <w:sz w:val="20"/>
                <w:lang w:val="fi-FI" w:eastAsia="fi-FI"/>
              </w:rPr>
            </w:pPr>
            <w:proofErr w:type="spellStart"/>
            <w:r w:rsidRPr="00721976">
              <w:rPr>
                <w:rFonts w:cs="Arial"/>
                <w:sz w:val="20"/>
                <w:lang w:val="fi-FI" w:eastAsia="fi-FI"/>
              </w:rPr>
              <w:t>Other</w:t>
            </w:r>
            <w:proofErr w:type="spellEnd"/>
            <w:r w:rsidRPr="00721976">
              <w:rPr>
                <w:rFonts w:cs="Arial"/>
                <w:sz w:val="20"/>
                <w:lang w:val="fi-FI" w:eastAsia="fi-FI"/>
              </w:rPr>
              <w:t xml:space="preserve"> operating </w:t>
            </w:r>
            <w:proofErr w:type="spellStart"/>
            <w:r w:rsidRPr="00721976">
              <w:rPr>
                <w:rFonts w:cs="Arial"/>
                <w:sz w:val="20"/>
                <w:lang w:val="fi-FI" w:eastAsia="fi-FI"/>
              </w:rPr>
              <w:t>income</w:t>
            </w:r>
            <w:proofErr w:type="spellEnd"/>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28</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249</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-89</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31</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280</w:t>
            </w:r>
          </w:p>
        </w:tc>
      </w:tr>
      <w:tr w:rsidR="00CF3D7D" w:rsidRPr="008951BF" w:rsidTr="00CF3D7D">
        <w:trPr>
          <w:trHeight w:val="225"/>
        </w:trPr>
        <w:tc>
          <w:tcPr>
            <w:tcW w:w="3685" w:type="dxa"/>
            <w:noWrap/>
            <w:vAlign w:val="center"/>
            <w:hideMark/>
          </w:tcPr>
          <w:p w:rsidR="00CF3D7D" w:rsidRPr="00721976" w:rsidRDefault="00CF3D7D" w:rsidP="00DC694B">
            <w:pPr>
              <w:ind w:left="426"/>
              <w:rPr>
                <w:rFonts w:cs="Arial"/>
                <w:sz w:val="20"/>
                <w:lang w:val="en-US" w:eastAsia="fi-FI"/>
              </w:rPr>
            </w:pPr>
            <w:r w:rsidRPr="00721976">
              <w:rPr>
                <w:rFonts w:cs="Arial"/>
                <w:sz w:val="20"/>
                <w:lang w:val="en-US" w:eastAsia="fi-FI"/>
              </w:rPr>
              <w:t>Raw materials and consumables used</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9</w:t>
            </w:r>
            <w:r w:rsidR="008C4D25">
              <w:rPr>
                <w:rFonts w:cs="Arial"/>
                <w:color w:val="000000"/>
                <w:sz w:val="20"/>
                <w:szCs w:val="20"/>
              </w:rPr>
              <w:t>,</w:t>
            </w:r>
            <w:r w:rsidRPr="0019732C">
              <w:rPr>
                <w:rFonts w:cs="Arial"/>
                <w:color w:val="000000"/>
                <w:sz w:val="20"/>
                <w:szCs w:val="20"/>
              </w:rPr>
              <w:t>174</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5</w:t>
            </w:r>
            <w:r w:rsidR="008C4D25">
              <w:rPr>
                <w:rFonts w:cs="Arial"/>
                <w:color w:val="000000"/>
                <w:sz w:val="20"/>
                <w:szCs w:val="20"/>
              </w:rPr>
              <w:t>,</w:t>
            </w:r>
            <w:r w:rsidRPr="0019732C">
              <w:rPr>
                <w:rFonts w:cs="Arial"/>
                <w:color w:val="000000"/>
                <w:sz w:val="20"/>
                <w:szCs w:val="20"/>
              </w:rPr>
              <w:t>647</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62</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7</w:t>
            </w:r>
            <w:r w:rsidR="008C4D25">
              <w:rPr>
                <w:rFonts w:cs="Arial"/>
                <w:color w:val="000000"/>
                <w:sz w:val="20"/>
                <w:szCs w:val="20"/>
              </w:rPr>
              <w:t>,</w:t>
            </w:r>
            <w:r w:rsidRPr="0019732C">
              <w:rPr>
                <w:rFonts w:cs="Arial"/>
                <w:color w:val="000000"/>
                <w:sz w:val="20"/>
                <w:szCs w:val="20"/>
              </w:rPr>
              <w:t>019</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12</w:t>
            </w:r>
            <w:r w:rsidR="008C4D25">
              <w:rPr>
                <w:rFonts w:cs="Arial"/>
                <w:color w:val="000000"/>
                <w:sz w:val="20"/>
                <w:szCs w:val="20"/>
              </w:rPr>
              <w:t>,</w:t>
            </w:r>
            <w:r w:rsidRPr="0019732C">
              <w:rPr>
                <w:rFonts w:cs="Arial"/>
                <w:color w:val="000000"/>
                <w:sz w:val="20"/>
                <w:szCs w:val="20"/>
              </w:rPr>
              <w:t>665</w:t>
            </w:r>
          </w:p>
        </w:tc>
      </w:tr>
      <w:tr w:rsidR="00CF3D7D" w:rsidRPr="008951BF" w:rsidTr="00CF3D7D">
        <w:trPr>
          <w:trHeight w:val="225"/>
        </w:trPr>
        <w:tc>
          <w:tcPr>
            <w:tcW w:w="3685" w:type="dxa"/>
            <w:noWrap/>
            <w:vAlign w:val="center"/>
            <w:hideMark/>
          </w:tcPr>
          <w:p w:rsidR="00CF3D7D" w:rsidRPr="00721976" w:rsidRDefault="00CF3D7D" w:rsidP="00DC694B">
            <w:pPr>
              <w:ind w:left="426"/>
              <w:rPr>
                <w:rFonts w:cs="Arial"/>
                <w:sz w:val="20"/>
                <w:lang w:val="fi-FI" w:eastAsia="fi-FI"/>
              </w:rPr>
            </w:pPr>
            <w:proofErr w:type="spellStart"/>
            <w:r w:rsidRPr="00721976">
              <w:rPr>
                <w:rFonts w:cs="Arial"/>
                <w:sz w:val="20"/>
                <w:lang w:val="fi-FI" w:eastAsia="fi-FI"/>
              </w:rPr>
              <w:t>Personnel</w:t>
            </w:r>
            <w:proofErr w:type="spellEnd"/>
            <w:r w:rsidRPr="00721976">
              <w:rPr>
                <w:rFonts w:cs="Arial"/>
                <w:sz w:val="20"/>
                <w:lang w:val="fi-FI" w:eastAsia="fi-FI"/>
              </w:rPr>
              <w:t xml:space="preserve"> </w:t>
            </w:r>
            <w:proofErr w:type="spellStart"/>
            <w:r w:rsidRPr="00721976">
              <w:rPr>
                <w:rFonts w:cs="Arial"/>
                <w:sz w:val="20"/>
                <w:lang w:val="fi-FI" w:eastAsia="fi-FI"/>
              </w:rPr>
              <w:t>expenses</w:t>
            </w:r>
            <w:proofErr w:type="spellEnd"/>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604</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501</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7</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340</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2</w:t>
            </w:r>
            <w:r w:rsidR="008C4D25">
              <w:rPr>
                <w:rFonts w:cs="Arial"/>
                <w:color w:val="000000"/>
                <w:sz w:val="20"/>
                <w:szCs w:val="20"/>
              </w:rPr>
              <w:t>,</w:t>
            </w:r>
            <w:r w:rsidRPr="0019732C">
              <w:rPr>
                <w:rFonts w:cs="Arial"/>
                <w:color w:val="000000"/>
                <w:sz w:val="20"/>
                <w:szCs w:val="20"/>
              </w:rPr>
              <w:t>841</w:t>
            </w:r>
          </w:p>
        </w:tc>
      </w:tr>
      <w:tr w:rsidR="00CF3D7D" w:rsidRPr="008951BF" w:rsidTr="00CF3D7D">
        <w:trPr>
          <w:trHeight w:val="225"/>
        </w:trPr>
        <w:tc>
          <w:tcPr>
            <w:tcW w:w="3685" w:type="dxa"/>
            <w:noWrap/>
            <w:vAlign w:val="center"/>
            <w:hideMark/>
          </w:tcPr>
          <w:p w:rsidR="00CF3D7D" w:rsidRPr="00721976" w:rsidRDefault="00CF3D7D" w:rsidP="00DC694B">
            <w:pPr>
              <w:ind w:left="426"/>
              <w:rPr>
                <w:rFonts w:cs="Arial"/>
                <w:sz w:val="20"/>
                <w:lang w:val="en-US" w:eastAsia="fi-FI"/>
              </w:rPr>
            </w:pPr>
            <w:r w:rsidRPr="00721976">
              <w:rPr>
                <w:rFonts w:cs="Arial"/>
                <w:sz w:val="20"/>
                <w:lang w:val="en-US" w:eastAsia="fi-FI"/>
              </w:rPr>
              <w:t xml:space="preserve">Depreciation, </w:t>
            </w:r>
            <w:proofErr w:type="spellStart"/>
            <w:r w:rsidRPr="00721976">
              <w:rPr>
                <w:rFonts w:cs="Arial"/>
                <w:sz w:val="20"/>
                <w:lang w:val="en-US" w:eastAsia="fi-FI"/>
              </w:rPr>
              <w:t>amortisation</w:t>
            </w:r>
            <w:proofErr w:type="spellEnd"/>
            <w:r w:rsidRPr="00721976">
              <w:rPr>
                <w:rFonts w:cs="Arial"/>
                <w:sz w:val="20"/>
                <w:lang w:val="en-US" w:eastAsia="fi-FI"/>
              </w:rPr>
              <w:t xml:space="preserve"> and impairment losses</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155</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153</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1</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162</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314</w:t>
            </w:r>
          </w:p>
        </w:tc>
      </w:tr>
      <w:tr w:rsidR="00CF3D7D" w:rsidRPr="008951BF" w:rsidTr="00CF3D7D">
        <w:trPr>
          <w:trHeight w:val="225"/>
        </w:trPr>
        <w:tc>
          <w:tcPr>
            <w:tcW w:w="3685" w:type="dxa"/>
            <w:noWrap/>
            <w:vAlign w:val="center"/>
            <w:hideMark/>
          </w:tcPr>
          <w:p w:rsidR="00CF3D7D" w:rsidRPr="00721976" w:rsidRDefault="00CF3D7D" w:rsidP="00DC694B">
            <w:pPr>
              <w:ind w:left="426"/>
              <w:rPr>
                <w:rFonts w:cs="Arial"/>
                <w:sz w:val="20"/>
                <w:lang w:val="fi-FI" w:eastAsia="fi-FI"/>
              </w:rPr>
            </w:pPr>
            <w:proofErr w:type="spellStart"/>
            <w:r>
              <w:rPr>
                <w:rFonts w:cs="Arial"/>
                <w:sz w:val="20"/>
                <w:lang w:val="fi-FI" w:eastAsia="fi-FI"/>
              </w:rPr>
              <w:t>Other</w:t>
            </w:r>
            <w:proofErr w:type="spellEnd"/>
            <w:r>
              <w:rPr>
                <w:rFonts w:cs="Arial"/>
                <w:sz w:val="20"/>
                <w:lang w:val="fi-FI" w:eastAsia="fi-FI"/>
              </w:rPr>
              <w:t xml:space="preserve"> operating </w:t>
            </w:r>
            <w:proofErr w:type="spellStart"/>
            <w:r>
              <w:rPr>
                <w:rFonts w:cs="Arial"/>
                <w:sz w:val="20"/>
                <w:lang w:val="fi-FI" w:eastAsia="fi-FI"/>
              </w:rPr>
              <w:t>ex</w:t>
            </w:r>
            <w:r w:rsidRPr="00721976">
              <w:rPr>
                <w:rFonts w:cs="Arial"/>
                <w:sz w:val="20"/>
                <w:lang w:val="fi-FI" w:eastAsia="fi-FI"/>
              </w:rPr>
              <w:t>penses</w:t>
            </w:r>
            <w:proofErr w:type="spellEnd"/>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067</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160</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-8</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578</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738</w:t>
            </w:r>
          </w:p>
        </w:tc>
      </w:tr>
      <w:tr w:rsidR="00CF3D7D" w:rsidRPr="008951BF" w:rsidTr="00CF3D7D">
        <w:trPr>
          <w:trHeight w:val="225"/>
        </w:trPr>
        <w:tc>
          <w:tcPr>
            <w:tcW w:w="3685" w:type="dxa"/>
            <w:noWrap/>
            <w:vAlign w:val="center"/>
            <w:hideMark/>
          </w:tcPr>
          <w:p w:rsidR="00CF3D7D" w:rsidRPr="00721976" w:rsidRDefault="00CF3D7D" w:rsidP="00DC694B">
            <w:pPr>
              <w:ind w:left="426"/>
              <w:rPr>
                <w:rFonts w:cs="Arial"/>
                <w:sz w:val="20"/>
                <w:lang w:val="fi-FI" w:eastAsia="fi-FI"/>
              </w:rPr>
            </w:pPr>
            <w:r w:rsidRPr="00721976">
              <w:rPr>
                <w:rFonts w:cs="Arial"/>
                <w:sz w:val="20"/>
                <w:lang w:val="fi-FI" w:eastAsia="fi-FI"/>
              </w:rPr>
              <w:t>OPERATING PROFIT/LOSS</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478</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-144</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0E653B">
              <w:rPr>
                <w:rFonts w:cs="Arial"/>
                <w:color w:val="000000"/>
                <w:sz w:val="20"/>
                <w:szCs w:val="20"/>
              </w:rPr>
              <w:t>,</w:t>
            </w:r>
            <w:r w:rsidRPr="0019732C">
              <w:rPr>
                <w:rFonts w:cs="Arial"/>
                <w:color w:val="000000"/>
                <w:sz w:val="20"/>
                <w:szCs w:val="20"/>
              </w:rPr>
              <w:t>129</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205</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061</w:t>
            </w:r>
          </w:p>
        </w:tc>
      </w:tr>
      <w:tr w:rsidR="00CF3D7D" w:rsidRPr="008951BF" w:rsidTr="00CF3D7D">
        <w:trPr>
          <w:trHeight w:val="225"/>
        </w:trPr>
        <w:tc>
          <w:tcPr>
            <w:tcW w:w="3685" w:type="dxa"/>
            <w:noWrap/>
            <w:vAlign w:val="center"/>
            <w:hideMark/>
          </w:tcPr>
          <w:p w:rsidR="00CF3D7D" w:rsidRPr="00721976" w:rsidRDefault="00CF3D7D" w:rsidP="00DC694B">
            <w:pPr>
              <w:ind w:left="426"/>
              <w:rPr>
                <w:rFonts w:cs="Arial"/>
                <w:sz w:val="20"/>
                <w:lang w:val="fi-FI" w:eastAsia="fi-FI"/>
              </w:rPr>
            </w:pPr>
            <w:proofErr w:type="spellStart"/>
            <w:r w:rsidRPr="00721976">
              <w:rPr>
                <w:rFonts w:cs="Arial"/>
                <w:sz w:val="20"/>
                <w:lang w:val="fi-FI" w:eastAsia="fi-FI"/>
              </w:rPr>
              <w:t>Financing</w:t>
            </w:r>
            <w:proofErr w:type="spellEnd"/>
            <w:r w:rsidRPr="00721976">
              <w:rPr>
                <w:rFonts w:cs="Arial"/>
                <w:sz w:val="20"/>
                <w:lang w:val="fi-FI" w:eastAsia="fi-FI"/>
              </w:rPr>
              <w:t xml:space="preserve"> </w:t>
            </w:r>
            <w:proofErr w:type="spellStart"/>
            <w:r w:rsidRPr="00721976">
              <w:rPr>
                <w:rFonts w:cs="Arial"/>
                <w:sz w:val="20"/>
                <w:lang w:val="fi-FI" w:eastAsia="fi-FI"/>
              </w:rPr>
              <w:t>income</w:t>
            </w:r>
            <w:proofErr w:type="spellEnd"/>
            <w:r w:rsidRPr="00721976">
              <w:rPr>
                <w:rFonts w:cs="Arial"/>
                <w:sz w:val="20"/>
                <w:lang w:val="fi-FI" w:eastAsia="fi-FI"/>
              </w:rPr>
              <w:t xml:space="preserve"> and </w:t>
            </w:r>
            <w:proofErr w:type="spellStart"/>
            <w:r w:rsidRPr="00721976">
              <w:rPr>
                <w:rFonts w:cs="Arial"/>
                <w:sz w:val="20"/>
                <w:lang w:val="fi-FI" w:eastAsia="fi-FI"/>
              </w:rPr>
              <w:t>expenses</w:t>
            </w:r>
            <w:proofErr w:type="spellEnd"/>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-194</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-493</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-61</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-254</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-747</w:t>
            </w:r>
          </w:p>
        </w:tc>
      </w:tr>
      <w:tr w:rsidR="00CF3D7D" w:rsidRPr="008951BF" w:rsidTr="00CF3D7D">
        <w:trPr>
          <w:trHeight w:val="225"/>
        </w:trPr>
        <w:tc>
          <w:tcPr>
            <w:tcW w:w="3685" w:type="dxa"/>
            <w:noWrap/>
            <w:vAlign w:val="center"/>
            <w:hideMark/>
          </w:tcPr>
          <w:p w:rsidR="00CF3D7D" w:rsidRPr="00721976" w:rsidRDefault="00CF3D7D" w:rsidP="00DC694B">
            <w:pPr>
              <w:ind w:left="426"/>
              <w:rPr>
                <w:rFonts w:cs="Arial"/>
                <w:sz w:val="20"/>
                <w:lang w:val="en-US" w:eastAsia="fi-FI"/>
              </w:rPr>
            </w:pPr>
            <w:r w:rsidRPr="00721976">
              <w:rPr>
                <w:rFonts w:cs="Arial"/>
                <w:sz w:val="20"/>
                <w:lang w:val="en-US" w:eastAsia="fi-FI"/>
              </w:rPr>
              <w:t>PROFIT/LOSS BEFORE TAX</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284</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-637</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302</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951</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314</w:t>
            </w:r>
          </w:p>
        </w:tc>
      </w:tr>
      <w:tr w:rsidR="00CF3D7D" w:rsidRPr="008951BF" w:rsidTr="00085809">
        <w:trPr>
          <w:trHeight w:val="225"/>
        </w:trPr>
        <w:tc>
          <w:tcPr>
            <w:tcW w:w="3685" w:type="dxa"/>
            <w:noWrap/>
            <w:vAlign w:val="center"/>
            <w:hideMark/>
          </w:tcPr>
          <w:p w:rsidR="00CF3D7D" w:rsidRPr="00721976" w:rsidRDefault="00CF3D7D" w:rsidP="00DC694B">
            <w:pPr>
              <w:ind w:left="426"/>
              <w:rPr>
                <w:rFonts w:cs="Arial"/>
                <w:sz w:val="20"/>
                <w:lang w:val="fi-FI" w:eastAsia="fi-FI"/>
              </w:rPr>
            </w:pPr>
            <w:proofErr w:type="spellStart"/>
            <w:r w:rsidRPr="00721976">
              <w:rPr>
                <w:rFonts w:cs="Arial"/>
                <w:sz w:val="20"/>
                <w:lang w:val="fi-FI" w:eastAsia="fi-FI"/>
              </w:rPr>
              <w:t>Income</w:t>
            </w:r>
            <w:proofErr w:type="spellEnd"/>
            <w:r w:rsidRPr="00721976">
              <w:rPr>
                <w:rFonts w:cs="Arial"/>
                <w:sz w:val="20"/>
                <w:lang w:val="fi-FI" w:eastAsia="fi-FI"/>
              </w:rPr>
              <w:t xml:space="preserve"> </w:t>
            </w:r>
            <w:proofErr w:type="spellStart"/>
            <w:r w:rsidRPr="00721976">
              <w:rPr>
                <w:rFonts w:cs="Arial"/>
                <w:sz w:val="20"/>
                <w:lang w:val="fi-FI" w:eastAsia="fi-FI"/>
              </w:rPr>
              <w:t>tax</w:t>
            </w:r>
            <w:proofErr w:type="spellEnd"/>
            <w:r w:rsidRPr="00721976">
              <w:rPr>
                <w:rFonts w:cs="Arial"/>
                <w:sz w:val="20"/>
                <w:lang w:val="fi-FI" w:eastAsia="fi-FI"/>
              </w:rPr>
              <w:t xml:space="preserve"> </w:t>
            </w:r>
            <w:proofErr w:type="spellStart"/>
            <w:r w:rsidRPr="00721976">
              <w:rPr>
                <w:rFonts w:cs="Arial"/>
                <w:sz w:val="20"/>
                <w:lang w:val="fi-FI" w:eastAsia="fi-FI"/>
              </w:rPr>
              <w:t>expenses</w:t>
            </w:r>
            <w:proofErr w:type="spellEnd"/>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-439</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0</w:t>
            </w:r>
          </w:p>
        </w:tc>
        <w:tc>
          <w:tcPr>
            <w:tcW w:w="1248" w:type="dxa"/>
            <w:vAlign w:val="bottom"/>
          </w:tcPr>
          <w:p w:rsidR="00CF3D7D" w:rsidRPr="00085809" w:rsidRDefault="00CF3D7D" w:rsidP="00CF3D7D">
            <w:pPr>
              <w:jc w:val="right"/>
              <w:rPr>
                <w:rFonts w:cs="Arial"/>
                <w:color w:val="000000"/>
                <w:sz w:val="20"/>
                <w:szCs w:val="20"/>
              </w:rPr>
            </w:pP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-163</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-163</w:t>
            </w:r>
          </w:p>
        </w:tc>
      </w:tr>
      <w:tr w:rsidR="00CF3D7D" w:rsidRPr="008951BF" w:rsidTr="00CF3D7D">
        <w:trPr>
          <w:trHeight w:val="225"/>
        </w:trPr>
        <w:tc>
          <w:tcPr>
            <w:tcW w:w="3685" w:type="dxa"/>
            <w:noWrap/>
            <w:vAlign w:val="center"/>
            <w:hideMark/>
          </w:tcPr>
          <w:p w:rsidR="00CF3D7D" w:rsidRPr="00721976" w:rsidRDefault="00CF3D7D" w:rsidP="00DC694B">
            <w:pPr>
              <w:ind w:left="426"/>
              <w:rPr>
                <w:rFonts w:cs="Arial"/>
                <w:sz w:val="20"/>
                <w:lang w:val="en-US" w:eastAsia="fi-FI"/>
              </w:rPr>
            </w:pPr>
            <w:r w:rsidRPr="00721976">
              <w:rPr>
                <w:rFonts w:cs="Arial"/>
                <w:sz w:val="20"/>
                <w:lang w:val="en-US" w:eastAsia="fi-FI"/>
              </w:rPr>
              <w:t>PROFIT/LOSS FOR THE PERIOD</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845</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-637</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233</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788</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151</w:t>
            </w:r>
          </w:p>
        </w:tc>
      </w:tr>
      <w:tr w:rsidR="00CF3D7D" w:rsidRPr="008951BF" w:rsidTr="00CF3D7D">
        <w:trPr>
          <w:trHeight w:val="225"/>
        </w:trPr>
        <w:tc>
          <w:tcPr>
            <w:tcW w:w="3685" w:type="dxa"/>
            <w:noWrap/>
            <w:vAlign w:val="center"/>
          </w:tcPr>
          <w:p w:rsidR="00CF3D7D" w:rsidRPr="00721976" w:rsidRDefault="00CF3D7D" w:rsidP="00DC694B">
            <w:pPr>
              <w:ind w:left="426"/>
              <w:rPr>
                <w:rFonts w:cs="Arial"/>
                <w:sz w:val="20"/>
                <w:lang w:val="fi-FI" w:eastAsia="fi-FI"/>
              </w:rPr>
            </w:pPr>
          </w:p>
        </w:tc>
        <w:tc>
          <w:tcPr>
            <w:tcW w:w="1247" w:type="dxa"/>
            <w:vAlign w:val="bottom"/>
          </w:tcPr>
          <w:p w:rsidR="00CF3D7D" w:rsidRPr="0019732C" w:rsidRDefault="00CF3D7D" w:rsidP="00CF3D7D">
            <w:pPr>
              <w:jc w:val="right"/>
              <w:rPr>
                <w:rFonts w:cs="Arial"/>
                <w:sz w:val="20"/>
                <w:szCs w:val="20"/>
              </w:rPr>
            </w:pPr>
          </w:p>
        </w:tc>
        <w:tc>
          <w:tcPr>
            <w:tcW w:w="1247" w:type="dxa"/>
            <w:vAlign w:val="bottom"/>
          </w:tcPr>
          <w:p w:rsidR="00CF3D7D" w:rsidRPr="0019732C" w:rsidRDefault="00CF3D7D" w:rsidP="00CF3D7D">
            <w:pPr>
              <w:jc w:val="right"/>
              <w:rPr>
                <w:rFonts w:cs="Arial"/>
                <w:sz w:val="20"/>
                <w:szCs w:val="20"/>
              </w:rPr>
            </w:pPr>
          </w:p>
        </w:tc>
        <w:tc>
          <w:tcPr>
            <w:tcW w:w="1248" w:type="dxa"/>
            <w:vAlign w:val="bottom"/>
          </w:tcPr>
          <w:p w:rsidR="00CF3D7D" w:rsidRPr="0019732C" w:rsidRDefault="00CF3D7D" w:rsidP="00CF3D7D">
            <w:pPr>
              <w:jc w:val="right"/>
              <w:rPr>
                <w:rFonts w:cs="Arial"/>
                <w:sz w:val="20"/>
                <w:szCs w:val="20"/>
              </w:rPr>
            </w:pPr>
          </w:p>
        </w:tc>
        <w:tc>
          <w:tcPr>
            <w:tcW w:w="1247" w:type="dxa"/>
            <w:vAlign w:val="bottom"/>
          </w:tcPr>
          <w:p w:rsidR="00CF3D7D" w:rsidRPr="0019732C" w:rsidRDefault="00CF3D7D" w:rsidP="00CF3D7D">
            <w:pPr>
              <w:jc w:val="right"/>
              <w:rPr>
                <w:rFonts w:cs="Arial"/>
                <w:sz w:val="20"/>
                <w:szCs w:val="20"/>
              </w:rPr>
            </w:pPr>
          </w:p>
        </w:tc>
        <w:tc>
          <w:tcPr>
            <w:tcW w:w="1248" w:type="dxa"/>
            <w:vAlign w:val="bottom"/>
          </w:tcPr>
          <w:p w:rsidR="00CF3D7D" w:rsidRPr="0019732C" w:rsidRDefault="00CF3D7D" w:rsidP="00CF3D7D">
            <w:pPr>
              <w:jc w:val="right"/>
              <w:rPr>
                <w:rFonts w:cs="Arial"/>
                <w:sz w:val="20"/>
                <w:szCs w:val="20"/>
              </w:rPr>
            </w:pPr>
          </w:p>
        </w:tc>
      </w:tr>
      <w:tr w:rsidR="00CF3D7D" w:rsidRPr="008951BF" w:rsidTr="00CF3D7D">
        <w:trPr>
          <w:trHeight w:val="225"/>
        </w:trPr>
        <w:tc>
          <w:tcPr>
            <w:tcW w:w="3685" w:type="dxa"/>
            <w:noWrap/>
            <w:vAlign w:val="center"/>
            <w:hideMark/>
          </w:tcPr>
          <w:p w:rsidR="00CF3D7D" w:rsidRPr="00721976" w:rsidRDefault="00CF3D7D" w:rsidP="00DC694B">
            <w:pPr>
              <w:ind w:left="426"/>
              <w:rPr>
                <w:rFonts w:cs="Arial"/>
                <w:sz w:val="20"/>
                <w:lang w:val="fi-FI" w:eastAsia="fi-FI"/>
              </w:rPr>
            </w:pPr>
            <w:proofErr w:type="spellStart"/>
            <w:r w:rsidRPr="00721976">
              <w:rPr>
                <w:rFonts w:cs="Arial"/>
                <w:sz w:val="20"/>
                <w:lang w:val="fi-FI" w:eastAsia="fi-FI"/>
              </w:rPr>
              <w:t>Earnnings</w:t>
            </w:r>
            <w:proofErr w:type="spellEnd"/>
            <w:r w:rsidRPr="00721976">
              <w:rPr>
                <w:rFonts w:cs="Arial"/>
                <w:sz w:val="20"/>
                <w:lang w:val="fi-FI" w:eastAsia="fi-FI"/>
              </w:rPr>
              <w:t xml:space="preserve"> per </w:t>
            </w:r>
            <w:proofErr w:type="spellStart"/>
            <w:r w:rsidRPr="00721976">
              <w:rPr>
                <w:rFonts w:cs="Arial"/>
                <w:sz w:val="20"/>
                <w:lang w:val="fi-FI" w:eastAsia="fi-FI"/>
              </w:rPr>
              <w:t>share</w:t>
            </w:r>
            <w:proofErr w:type="spellEnd"/>
          </w:p>
        </w:tc>
        <w:tc>
          <w:tcPr>
            <w:tcW w:w="1247" w:type="dxa"/>
            <w:vAlign w:val="bottom"/>
          </w:tcPr>
          <w:p w:rsidR="00CF3D7D" w:rsidRPr="0019732C" w:rsidRDefault="00CF3D7D" w:rsidP="00CF3D7D">
            <w:pPr>
              <w:jc w:val="right"/>
              <w:rPr>
                <w:rFonts w:cs="Arial"/>
                <w:sz w:val="20"/>
                <w:szCs w:val="20"/>
              </w:rPr>
            </w:pPr>
            <w:r w:rsidRPr="0019732C">
              <w:rPr>
                <w:rFonts w:cs="Arial"/>
                <w:sz w:val="20"/>
                <w:szCs w:val="20"/>
              </w:rPr>
              <w:t>0</w:t>
            </w:r>
            <w:r w:rsidR="008C4D25">
              <w:rPr>
                <w:rFonts w:cs="Arial"/>
                <w:sz w:val="20"/>
                <w:szCs w:val="20"/>
              </w:rPr>
              <w:t>.</w:t>
            </w:r>
            <w:r w:rsidRPr="0019732C">
              <w:rPr>
                <w:rFonts w:cs="Arial"/>
                <w:sz w:val="20"/>
                <w:szCs w:val="20"/>
              </w:rPr>
              <w:t>01</w:t>
            </w:r>
          </w:p>
        </w:tc>
        <w:tc>
          <w:tcPr>
            <w:tcW w:w="1247" w:type="dxa"/>
            <w:vAlign w:val="bottom"/>
          </w:tcPr>
          <w:p w:rsidR="00CF3D7D" w:rsidRPr="0019732C" w:rsidRDefault="00CF3D7D" w:rsidP="00CF3D7D">
            <w:pPr>
              <w:jc w:val="right"/>
              <w:rPr>
                <w:rFonts w:cs="Arial"/>
                <w:sz w:val="20"/>
                <w:szCs w:val="20"/>
              </w:rPr>
            </w:pPr>
            <w:r w:rsidRPr="0019732C">
              <w:rPr>
                <w:rFonts w:cs="Arial"/>
                <w:sz w:val="20"/>
                <w:szCs w:val="20"/>
              </w:rPr>
              <w:t>-0</w:t>
            </w:r>
            <w:r w:rsidR="008C4D25">
              <w:rPr>
                <w:rFonts w:cs="Arial"/>
                <w:sz w:val="20"/>
                <w:szCs w:val="20"/>
              </w:rPr>
              <w:t>.</w:t>
            </w:r>
            <w:r w:rsidRPr="0019732C">
              <w:rPr>
                <w:rFonts w:cs="Arial"/>
                <w:sz w:val="20"/>
                <w:szCs w:val="20"/>
              </w:rPr>
              <w:t>01</w:t>
            </w:r>
          </w:p>
        </w:tc>
        <w:tc>
          <w:tcPr>
            <w:tcW w:w="1248" w:type="dxa"/>
            <w:vAlign w:val="bottom"/>
            <w:hideMark/>
          </w:tcPr>
          <w:p w:rsidR="00CF3D7D" w:rsidRPr="0019732C" w:rsidRDefault="00CF3D7D" w:rsidP="00CF3D7D">
            <w:pPr>
              <w:jc w:val="right"/>
              <w:rPr>
                <w:rFonts w:cs="Arial"/>
                <w:sz w:val="20"/>
                <w:szCs w:val="20"/>
              </w:rPr>
            </w:pPr>
            <w:r w:rsidRPr="0019732C">
              <w:rPr>
                <w:rFonts w:cs="Arial"/>
                <w:sz w:val="20"/>
                <w:szCs w:val="20"/>
              </w:rPr>
              <w:t>292</w:t>
            </w:r>
          </w:p>
        </w:tc>
        <w:tc>
          <w:tcPr>
            <w:tcW w:w="1247" w:type="dxa"/>
            <w:vAlign w:val="bottom"/>
          </w:tcPr>
          <w:p w:rsidR="00CF3D7D" w:rsidRPr="0019732C" w:rsidRDefault="00CF3D7D" w:rsidP="00CF3D7D">
            <w:pPr>
              <w:jc w:val="right"/>
              <w:rPr>
                <w:rFonts w:cs="Arial"/>
                <w:sz w:val="20"/>
                <w:szCs w:val="20"/>
              </w:rPr>
            </w:pPr>
            <w:r w:rsidRPr="0019732C">
              <w:rPr>
                <w:rFonts w:cs="Arial"/>
                <w:sz w:val="20"/>
                <w:szCs w:val="20"/>
              </w:rPr>
              <w:t>0</w:t>
            </w:r>
            <w:r w:rsidR="008C4D25">
              <w:rPr>
                <w:rFonts w:cs="Arial"/>
                <w:sz w:val="20"/>
                <w:szCs w:val="20"/>
              </w:rPr>
              <w:t>.</w:t>
            </w:r>
            <w:r w:rsidRPr="0019732C">
              <w:rPr>
                <w:rFonts w:cs="Arial"/>
                <w:sz w:val="20"/>
                <w:szCs w:val="20"/>
              </w:rPr>
              <w:t>01</w:t>
            </w:r>
          </w:p>
        </w:tc>
        <w:tc>
          <w:tcPr>
            <w:tcW w:w="1248" w:type="dxa"/>
            <w:vAlign w:val="bottom"/>
          </w:tcPr>
          <w:p w:rsidR="00CF3D7D" w:rsidRPr="0019732C" w:rsidRDefault="00CF3D7D" w:rsidP="00CF3D7D">
            <w:pPr>
              <w:jc w:val="right"/>
              <w:rPr>
                <w:rFonts w:cs="Arial"/>
                <w:sz w:val="20"/>
                <w:szCs w:val="20"/>
              </w:rPr>
            </w:pPr>
            <w:r w:rsidRPr="0019732C">
              <w:rPr>
                <w:rFonts w:cs="Arial"/>
                <w:sz w:val="20"/>
                <w:szCs w:val="20"/>
              </w:rPr>
              <w:t>0</w:t>
            </w:r>
            <w:r w:rsidR="008C4D25">
              <w:rPr>
                <w:rFonts w:cs="Arial"/>
                <w:sz w:val="20"/>
                <w:szCs w:val="20"/>
              </w:rPr>
              <w:t>.</w:t>
            </w:r>
            <w:r w:rsidRPr="0019732C">
              <w:rPr>
                <w:rFonts w:cs="Arial"/>
                <w:sz w:val="20"/>
                <w:szCs w:val="20"/>
              </w:rPr>
              <w:t>00</w:t>
            </w:r>
          </w:p>
        </w:tc>
      </w:tr>
      <w:tr w:rsidR="003A6ECF" w:rsidRPr="008951BF" w:rsidTr="003B12F2">
        <w:trPr>
          <w:trHeight w:val="460"/>
        </w:trPr>
        <w:tc>
          <w:tcPr>
            <w:tcW w:w="9922" w:type="dxa"/>
            <w:gridSpan w:val="6"/>
          </w:tcPr>
          <w:p w:rsidR="003A6ECF" w:rsidRPr="008951BF" w:rsidRDefault="003A6ECF" w:rsidP="003A6ECF">
            <w:pPr>
              <w:ind w:left="426"/>
              <w:rPr>
                <w:rFonts w:cs="Arial"/>
                <w:lang w:val="en-US" w:eastAsia="fi-FI"/>
              </w:rPr>
            </w:pPr>
          </w:p>
        </w:tc>
      </w:tr>
    </w:tbl>
    <w:p w:rsidR="00DF6138" w:rsidRPr="008951BF" w:rsidRDefault="00DF6138" w:rsidP="0065535F">
      <w:pPr>
        <w:ind w:left="709"/>
        <w:rPr>
          <w:rFonts w:cs="Arial"/>
          <w:lang w:val="en-US"/>
        </w:rPr>
      </w:pPr>
    </w:p>
    <w:tbl>
      <w:tblPr>
        <w:tblStyle w:val="TableSimple1"/>
        <w:tblW w:w="9922" w:type="dxa"/>
        <w:tblLayout w:type="fixed"/>
        <w:tblLook w:val="04A0" w:firstRow="1" w:lastRow="0" w:firstColumn="1" w:lastColumn="0" w:noHBand="0" w:noVBand="1"/>
      </w:tblPr>
      <w:tblGrid>
        <w:gridCol w:w="3685"/>
        <w:gridCol w:w="1247"/>
        <w:gridCol w:w="1247"/>
        <w:gridCol w:w="1248"/>
        <w:gridCol w:w="1247"/>
        <w:gridCol w:w="1248"/>
      </w:tblGrid>
      <w:tr w:rsidR="00CF3D7D" w:rsidRPr="00721976" w:rsidTr="00CF3D7D">
        <w:trPr>
          <w:cnfStyle w:val="100000000000" w:firstRow="1" w:lastRow="0" w:firstColumn="0" w:lastColumn="0" w:oddVBand="0" w:evenVBand="0" w:oddHBand="0" w:evenHBand="0" w:firstRowFirstColumn="0" w:firstRowLastColumn="0" w:lastRowFirstColumn="0" w:lastRowLastColumn="0"/>
          <w:trHeight w:val="271"/>
        </w:trPr>
        <w:tc>
          <w:tcPr>
            <w:tcW w:w="3685" w:type="dxa"/>
            <w:noWrap/>
            <w:vAlign w:val="center"/>
            <w:hideMark/>
          </w:tcPr>
          <w:p w:rsidR="00CF3D7D" w:rsidRPr="00237177" w:rsidRDefault="00CF3D7D" w:rsidP="00DC694B">
            <w:pPr>
              <w:ind w:left="426"/>
              <w:rPr>
                <w:rFonts w:cs="Arial"/>
                <w:b/>
                <w:sz w:val="20"/>
                <w:lang w:val="fi-FI" w:eastAsia="fi-FI"/>
              </w:rPr>
            </w:pPr>
            <w:r w:rsidRPr="00237177">
              <w:rPr>
                <w:rFonts w:cs="Arial"/>
                <w:b/>
                <w:sz w:val="20"/>
                <w:lang w:val="fi-FI" w:eastAsia="fi-FI"/>
              </w:rPr>
              <w:t>OTHER COMPREHENSIVE INCOME</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1-6/2015</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1-6/2014</w:t>
            </w:r>
          </w:p>
        </w:tc>
        <w:tc>
          <w:tcPr>
            <w:tcW w:w="1248" w:type="dxa"/>
            <w:vAlign w:val="bottom"/>
            <w:hideMark/>
          </w:tcPr>
          <w:p w:rsidR="00CF3D7D" w:rsidRPr="0019732C" w:rsidRDefault="00CF3D7D" w:rsidP="00CF3D7D">
            <w:pPr>
              <w:jc w:val="right"/>
              <w:rPr>
                <w:rFonts w:cs="Arial"/>
                <w:color w:val="000000"/>
                <w:sz w:val="20"/>
                <w:szCs w:val="20"/>
              </w:rPr>
            </w:pPr>
            <w:r>
              <w:rPr>
                <w:rFonts w:cs="Arial"/>
                <w:color w:val="000000"/>
                <w:sz w:val="20"/>
                <w:szCs w:val="20"/>
              </w:rPr>
              <w:t>Change</w:t>
            </w:r>
            <w:r w:rsidRPr="0019732C">
              <w:rPr>
                <w:rFonts w:cs="Arial"/>
                <w:color w:val="000000"/>
                <w:sz w:val="20"/>
                <w:szCs w:val="20"/>
              </w:rPr>
              <w:t>, %</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7-12/2014</w:t>
            </w:r>
          </w:p>
        </w:tc>
        <w:tc>
          <w:tcPr>
            <w:tcW w:w="1248" w:type="dxa"/>
            <w:vAlign w:val="bottom"/>
            <w:hideMark/>
          </w:tcPr>
          <w:p w:rsidR="00CF3D7D" w:rsidRPr="0019732C" w:rsidRDefault="00CF3D7D" w:rsidP="00CF3D7D">
            <w:pPr>
              <w:jc w:val="right"/>
              <w:rPr>
                <w:rFonts w:cs="Arial"/>
                <w:color w:val="000000"/>
                <w:sz w:val="20"/>
                <w:szCs w:val="20"/>
              </w:rPr>
            </w:pPr>
            <w:r w:rsidRPr="0019732C">
              <w:rPr>
                <w:rFonts w:cs="Arial"/>
                <w:color w:val="000000"/>
                <w:sz w:val="20"/>
                <w:szCs w:val="20"/>
              </w:rPr>
              <w:t>1-12/2014</w:t>
            </w:r>
          </w:p>
        </w:tc>
      </w:tr>
      <w:tr w:rsidR="00484933" w:rsidRPr="00721976" w:rsidTr="00DC694B">
        <w:trPr>
          <w:trHeight w:val="271"/>
        </w:trPr>
        <w:tc>
          <w:tcPr>
            <w:tcW w:w="3685" w:type="dxa"/>
            <w:noWrap/>
            <w:vAlign w:val="center"/>
          </w:tcPr>
          <w:p w:rsidR="00484933" w:rsidRPr="00721976" w:rsidRDefault="00484933" w:rsidP="00DC694B">
            <w:pPr>
              <w:ind w:left="426"/>
              <w:rPr>
                <w:rFonts w:cs="Arial"/>
                <w:sz w:val="20"/>
                <w:lang w:val="en-US" w:eastAsia="fi-FI"/>
              </w:rPr>
            </w:pPr>
          </w:p>
        </w:tc>
        <w:tc>
          <w:tcPr>
            <w:tcW w:w="1247" w:type="dxa"/>
          </w:tcPr>
          <w:p w:rsidR="00484933" w:rsidRPr="00721976" w:rsidRDefault="00484933" w:rsidP="008951BF">
            <w:pPr>
              <w:ind w:left="426"/>
              <w:jc w:val="right"/>
              <w:rPr>
                <w:rFonts w:cs="Arial"/>
                <w:b/>
                <w:sz w:val="20"/>
                <w:lang w:val="en-US" w:eastAsia="fi-FI"/>
              </w:rPr>
            </w:pPr>
          </w:p>
        </w:tc>
        <w:tc>
          <w:tcPr>
            <w:tcW w:w="1247" w:type="dxa"/>
          </w:tcPr>
          <w:p w:rsidR="00484933" w:rsidRPr="00721976" w:rsidRDefault="00484933" w:rsidP="008951BF">
            <w:pPr>
              <w:ind w:left="426"/>
              <w:jc w:val="right"/>
              <w:rPr>
                <w:rFonts w:cs="Arial"/>
                <w:sz w:val="20"/>
                <w:lang w:val="en-US" w:eastAsia="fi-FI"/>
              </w:rPr>
            </w:pPr>
          </w:p>
        </w:tc>
        <w:tc>
          <w:tcPr>
            <w:tcW w:w="1248" w:type="dxa"/>
          </w:tcPr>
          <w:p w:rsidR="00484933" w:rsidRPr="00721976" w:rsidRDefault="00484933" w:rsidP="008951BF">
            <w:pPr>
              <w:ind w:left="426"/>
              <w:jc w:val="right"/>
              <w:rPr>
                <w:rFonts w:cs="Arial"/>
                <w:b/>
                <w:sz w:val="20"/>
                <w:lang w:val="en-US" w:eastAsia="fi-FI"/>
              </w:rPr>
            </w:pPr>
          </w:p>
        </w:tc>
        <w:tc>
          <w:tcPr>
            <w:tcW w:w="1247" w:type="dxa"/>
          </w:tcPr>
          <w:p w:rsidR="00484933" w:rsidRPr="00721976" w:rsidRDefault="00484933" w:rsidP="008951BF">
            <w:pPr>
              <w:ind w:left="426"/>
              <w:jc w:val="right"/>
              <w:rPr>
                <w:rFonts w:cs="Arial"/>
                <w:sz w:val="20"/>
                <w:lang w:val="en-US" w:eastAsia="fi-FI"/>
              </w:rPr>
            </w:pPr>
          </w:p>
        </w:tc>
        <w:tc>
          <w:tcPr>
            <w:tcW w:w="1248" w:type="dxa"/>
          </w:tcPr>
          <w:p w:rsidR="00484933" w:rsidRPr="00721976" w:rsidRDefault="00484933" w:rsidP="008951BF">
            <w:pPr>
              <w:ind w:left="426"/>
              <w:jc w:val="right"/>
              <w:rPr>
                <w:rFonts w:cs="Arial"/>
                <w:sz w:val="20"/>
                <w:lang w:val="en-US" w:eastAsia="fi-FI"/>
              </w:rPr>
            </w:pPr>
          </w:p>
        </w:tc>
      </w:tr>
      <w:tr w:rsidR="00CF3D7D" w:rsidRPr="00721976" w:rsidTr="00CF3D7D">
        <w:trPr>
          <w:trHeight w:val="271"/>
        </w:trPr>
        <w:tc>
          <w:tcPr>
            <w:tcW w:w="3685" w:type="dxa"/>
            <w:noWrap/>
            <w:vAlign w:val="center"/>
            <w:hideMark/>
          </w:tcPr>
          <w:p w:rsidR="00CF3D7D" w:rsidRPr="00721976" w:rsidRDefault="00CF3D7D" w:rsidP="00CF3D7D">
            <w:pPr>
              <w:ind w:left="426"/>
              <w:rPr>
                <w:rFonts w:cs="Arial"/>
                <w:sz w:val="20"/>
                <w:lang w:val="en-US" w:eastAsia="fi-FI"/>
              </w:rPr>
            </w:pPr>
            <w:r w:rsidRPr="00721976">
              <w:rPr>
                <w:rFonts w:cs="Arial"/>
                <w:sz w:val="20"/>
                <w:lang w:val="en-US" w:eastAsia="fi-FI"/>
              </w:rPr>
              <w:t>PROFIT/LOSS FOR THE PERIOD</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845</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-637</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233</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788</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151</w:t>
            </w:r>
          </w:p>
        </w:tc>
      </w:tr>
      <w:tr w:rsidR="00CF3D7D" w:rsidRPr="00721976" w:rsidTr="00CF3D7D">
        <w:trPr>
          <w:trHeight w:val="271"/>
        </w:trPr>
        <w:tc>
          <w:tcPr>
            <w:tcW w:w="3685" w:type="dxa"/>
            <w:noWrap/>
            <w:vAlign w:val="center"/>
          </w:tcPr>
          <w:p w:rsidR="00CF3D7D" w:rsidRPr="00721976" w:rsidRDefault="00CF3D7D" w:rsidP="00DC694B">
            <w:pPr>
              <w:ind w:left="426"/>
              <w:rPr>
                <w:rFonts w:cs="Arial"/>
                <w:sz w:val="20"/>
                <w:lang w:val="en-US" w:eastAsia="fi-FI"/>
              </w:rPr>
            </w:pPr>
          </w:p>
        </w:tc>
        <w:tc>
          <w:tcPr>
            <w:tcW w:w="1247"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7"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8"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7"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8"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r>
      <w:tr w:rsidR="00CF3D7D" w:rsidRPr="00721976" w:rsidTr="00CF3D7D">
        <w:trPr>
          <w:trHeight w:val="271"/>
        </w:trPr>
        <w:tc>
          <w:tcPr>
            <w:tcW w:w="3685" w:type="dxa"/>
            <w:noWrap/>
            <w:vAlign w:val="center"/>
            <w:hideMark/>
          </w:tcPr>
          <w:p w:rsidR="00CF3D7D" w:rsidRPr="00721976" w:rsidRDefault="00CF3D7D" w:rsidP="00DC694B">
            <w:pPr>
              <w:ind w:left="426"/>
              <w:rPr>
                <w:rFonts w:cs="Arial"/>
                <w:sz w:val="20"/>
                <w:lang w:val="fi-FI" w:eastAsia="fi-FI"/>
              </w:rPr>
            </w:pPr>
            <w:r w:rsidRPr="00721976">
              <w:rPr>
                <w:rFonts w:cs="Arial"/>
                <w:sz w:val="20"/>
                <w:lang w:val="fi-FI" w:eastAsia="fi-FI"/>
              </w:rPr>
              <w:t>OTHER COMPREHENSIVE INCOME:</w:t>
            </w:r>
          </w:p>
        </w:tc>
        <w:tc>
          <w:tcPr>
            <w:tcW w:w="1247"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7"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8"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7"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8"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r>
      <w:tr w:rsidR="00CF3D7D" w:rsidRPr="00721976" w:rsidTr="00CF3D7D">
        <w:trPr>
          <w:trHeight w:val="271"/>
        </w:trPr>
        <w:tc>
          <w:tcPr>
            <w:tcW w:w="3685" w:type="dxa"/>
            <w:noWrap/>
            <w:vAlign w:val="center"/>
            <w:hideMark/>
          </w:tcPr>
          <w:p w:rsidR="00CF3D7D" w:rsidRPr="00721976" w:rsidRDefault="00CF3D7D" w:rsidP="00DC694B">
            <w:pPr>
              <w:ind w:left="426"/>
              <w:rPr>
                <w:rFonts w:cs="Arial"/>
                <w:sz w:val="20"/>
                <w:lang w:val="en-US" w:eastAsia="fi-FI"/>
              </w:rPr>
            </w:pPr>
            <w:r w:rsidRPr="00721976">
              <w:rPr>
                <w:rFonts w:cs="Arial"/>
                <w:sz w:val="20"/>
                <w:lang w:val="en-US" w:eastAsia="fi-FI"/>
              </w:rPr>
              <w:t xml:space="preserve">Items that may be </w:t>
            </w:r>
            <w:proofErr w:type="spellStart"/>
            <w:r w:rsidRPr="00721976">
              <w:rPr>
                <w:rFonts w:cs="Arial"/>
                <w:sz w:val="20"/>
                <w:lang w:val="en-US" w:eastAsia="fi-FI"/>
              </w:rPr>
              <w:t>recognised</w:t>
            </w:r>
            <w:proofErr w:type="spellEnd"/>
            <w:r w:rsidRPr="00721976">
              <w:rPr>
                <w:rFonts w:cs="Arial"/>
                <w:sz w:val="20"/>
                <w:lang w:val="en-US" w:eastAsia="fi-FI"/>
              </w:rPr>
              <w:t xml:space="preserve"> in profit or loss at a later date:</w:t>
            </w:r>
          </w:p>
        </w:tc>
        <w:tc>
          <w:tcPr>
            <w:tcW w:w="1247" w:type="dxa"/>
            <w:vAlign w:val="bottom"/>
          </w:tcPr>
          <w:p w:rsidR="00CF3D7D" w:rsidRPr="0019732C" w:rsidRDefault="00CF3D7D" w:rsidP="00CF3D7D">
            <w:pPr>
              <w:jc w:val="right"/>
              <w:rPr>
                <w:rFonts w:cs="Arial"/>
                <w:sz w:val="20"/>
                <w:szCs w:val="20"/>
              </w:rPr>
            </w:pPr>
          </w:p>
        </w:tc>
        <w:tc>
          <w:tcPr>
            <w:tcW w:w="1247" w:type="dxa"/>
            <w:vAlign w:val="bottom"/>
          </w:tcPr>
          <w:p w:rsidR="00CF3D7D" w:rsidRPr="0019732C" w:rsidRDefault="00CF3D7D" w:rsidP="00CF3D7D">
            <w:pPr>
              <w:jc w:val="right"/>
              <w:rPr>
                <w:rFonts w:cs="Arial"/>
                <w:sz w:val="20"/>
                <w:szCs w:val="20"/>
              </w:rPr>
            </w:pPr>
          </w:p>
        </w:tc>
        <w:tc>
          <w:tcPr>
            <w:tcW w:w="1248" w:type="dxa"/>
            <w:vAlign w:val="bottom"/>
          </w:tcPr>
          <w:p w:rsidR="00CF3D7D" w:rsidRPr="0019732C" w:rsidRDefault="00CF3D7D" w:rsidP="00CF3D7D">
            <w:pPr>
              <w:jc w:val="right"/>
              <w:rPr>
                <w:rFonts w:cs="Arial"/>
                <w:color w:val="000000"/>
                <w:sz w:val="20"/>
                <w:szCs w:val="20"/>
              </w:rPr>
            </w:pPr>
          </w:p>
        </w:tc>
        <w:tc>
          <w:tcPr>
            <w:tcW w:w="1247" w:type="dxa"/>
            <w:vAlign w:val="bottom"/>
          </w:tcPr>
          <w:p w:rsidR="00CF3D7D" w:rsidRPr="0019732C" w:rsidRDefault="00CF3D7D" w:rsidP="00CF3D7D">
            <w:pPr>
              <w:jc w:val="right"/>
              <w:rPr>
                <w:rFonts w:cs="Arial"/>
                <w:sz w:val="20"/>
                <w:szCs w:val="20"/>
              </w:rPr>
            </w:pPr>
          </w:p>
        </w:tc>
        <w:tc>
          <w:tcPr>
            <w:tcW w:w="1248" w:type="dxa"/>
            <w:vAlign w:val="bottom"/>
          </w:tcPr>
          <w:p w:rsidR="00CF3D7D" w:rsidRPr="0019732C" w:rsidRDefault="00CF3D7D" w:rsidP="00CF3D7D">
            <w:pPr>
              <w:jc w:val="right"/>
              <w:rPr>
                <w:rFonts w:cs="Arial"/>
                <w:sz w:val="20"/>
                <w:szCs w:val="20"/>
              </w:rPr>
            </w:pPr>
          </w:p>
        </w:tc>
      </w:tr>
      <w:tr w:rsidR="00CF3D7D" w:rsidRPr="00721976" w:rsidTr="00CF3D7D">
        <w:trPr>
          <w:trHeight w:val="271"/>
        </w:trPr>
        <w:tc>
          <w:tcPr>
            <w:tcW w:w="3685" w:type="dxa"/>
            <w:noWrap/>
            <w:vAlign w:val="center"/>
            <w:hideMark/>
          </w:tcPr>
          <w:p w:rsidR="00CF3D7D" w:rsidRPr="00721976" w:rsidRDefault="00CF3D7D" w:rsidP="00DC694B">
            <w:pPr>
              <w:ind w:left="426"/>
              <w:rPr>
                <w:rFonts w:cs="Arial"/>
                <w:sz w:val="20"/>
                <w:lang w:val="en-US" w:eastAsia="fi-FI"/>
              </w:rPr>
            </w:pPr>
            <w:r w:rsidRPr="00721976">
              <w:rPr>
                <w:rFonts w:cs="Arial"/>
                <w:sz w:val="20"/>
                <w:lang w:val="en-US" w:eastAsia="fi-FI"/>
              </w:rPr>
              <w:t>Translation differences from foreign units</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368</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121</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204</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248</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370</w:t>
            </w:r>
          </w:p>
        </w:tc>
      </w:tr>
      <w:tr w:rsidR="00CF3D7D" w:rsidRPr="00721976" w:rsidTr="00CF3D7D">
        <w:trPr>
          <w:trHeight w:val="271"/>
        </w:trPr>
        <w:tc>
          <w:tcPr>
            <w:tcW w:w="3685" w:type="dxa"/>
            <w:noWrap/>
            <w:vAlign w:val="center"/>
            <w:hideMark/>
          </w:tcPr>
          <w:p w:rsidR="00CF3D7D" w:rsidRPr="00721976" w:rsidRDefault="00CF3D7D" w:rsidP="00DC694B">
            <w:pPr>
              <w:ind w:left="426"/>
              <w:rPr>
                <w:rFonts w:cs="Arial"/>
                <w:sz w:val="20"/>
                <w:lang w:val="fi-FI" w:eastAsia="fi-FI"/>
              </w:rPr>
            </w:pPr>
            <w:proofErr w:type="spellStart"/>
            <w:r w:rsidRPr="00721976">
              <w:rPr>
                <w:rFonts w:cs="Arial"/>
                <w:sz w:val="20"/>
                <w:lang w:val="fi-FI" w:eastAsia="fi-FI"/>
              </w:rPr>
              <w:t>Other</w:t>
            </w:r>
            <w:proofErr w:type="spellEnd"/>
            <w:r w:rsidRPr="00721976">
              <w:rPr>
                <w:rFonts w:cs="Arial"/>
                <w:sz w:val="20"/>
                <w:lang w:val="fi-FI" w:eastAsia="fi-FI"/>
              </w:rPr>
              <w:t xml:space="preserve"> </w:t>
            </w:r>
            <w:proofErr w:type="spellStart"/>
            <w:r w:rsidRPr="00721976">
              <w:rPr>
                <w:rFonts w:cs="Arial"/>
                <w:sz w:val="20"/>
                <w:lang w:val="fi-FI" w:eastAsia="fi-FI"/>
              </w:rPr>
              <w:t>comprehensive</w:t>
            </w:r>
            <w:proofErr w:type="spellEnd"/>
            <w:r w:rsidRPr="00721976">
              <w:rPr>
                <w:rFonts w:cs="Arial"/>
                <w:sz w:val="20"/>
                <w:lang w:val="fi-FI" w:eastAsia="fi-FI"/>
              </w:rPr>
              <w:t xml:space="preserve"> </w:t>
            </w:r>
            <w:proofErr w:type="spellStart"/>
            <w:r w:rsidRPr="00721976">
              <w:rPr>
                <w:rFonts w:cs="Arial"/>
                <w:sz w:val="20"/>
                <w:lang w:val="fi-FI" w:eastAsia="fi-FI"/>
              </w:rPr>
              <w:t>income</w:t>
            </w:r>
            <w:proofErr w:type="spellEnd"/>
            <w:r w:rsidRPr="00721976">
              <w:rPr>
                <w:rFonts w:cs="Arial"/>
                <w:sz w:val="20"/>
                <w:lang w:val="fi-FI" w:eastAsia="fi-FI"/>
              </w:rPr>
              <w:t xml:space="preserve">, </w:t>
            </w:r>
            <w:proofErr w:type="spellStart"/>
            <w:r w:rsidRPr="00721976">
              <w:rPr>
                <w:rFonts w:cs="Arial"/>
                <w:sz w:val="20"/>
                <w:lang w:val="fi-FI" w:eastAsia="fi-FI"/>
              </w:rPr>
              <w:t>net</w:t>
            </w:r>
            <w:proofErr w:type="spellEnd"/>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368</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121</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204</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248</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370</w:t>
            </w:r>
          </w:p>
        </w:tc>
      </w:tr>
      <w:tr w:rsidR="00CF3D7D" w:rsidRPr="00721976" w:rsidTr="00CF3D7D">
        <w:trPr>
          <w:trHeight w:val="271"/>
        </w:trPr>
        <w:tc>
          <w:tcPr>
            <w:tcW w:w="3685" w:type="dxa"/>
            <w:noWrap/>
          </w:tcPr>
          <w:p w:rsidR="00CF3D7D" w:rsidRPr="00721976" w:rsidRDefault="00CF3D7D" w:rsidP="008951BF">
            <w:pPr>
              <w:ind w:left="426"/>
              <w:rPr>
                <w:rFonts w:cs="Arial"/>
                <w:sz w:val="20"/>
                <w:lang w:val="fi-FI" w:eastAsia="fi-FI"/>
              </w:rPr>
            </w:pPr>
          </w:p>
        </w:tc>
        <w:tc>
          <w:tcPr>
            <w:tcW w:w="1247" w:type="dxa"/>
            <w:vAlign w:val="bottom"/>
          </w:tcPr>
          <w:p w:rsidR="00CF3D7D" w:rsidRPr="0019732C" w:rsidRDefault="00CF3D7D" w:rsidP="00CF3D7D">
            <w:pPr>
              <w:jc w:val="right"/>
              <w:rPr>
                <w:rFonts w:cs="Arial"/>
                <w:color w:val="000000"/>
                <w:sz w:val="20"/>
                <w:szCs w:val="20"/>
              </w:rPr>
            </w:pPr>
          </w:p>
        </w:tc>
        <w:tc>
          <w:tcPr>
            <w:tcW w:w="1247" w:type="dxa"/>
            <w:vAlign w:val="bottom"/>
          </w:tcPr>
          <w:p w:rsidR="00CF3D7D" w:rsidRPr="0019732C" w:rsidRDefault="00CF3D7D" w:rsidP="00CF3D7D">
            <w:pPr>
              <w:jc w:val="right"/>
              <w:rPr>
                <w:rFonts w:cs="Arial"/>
                <w:color w:val="000000"/>
                <w:sz w:val="20"/>
                <w:szCs w:val="20"/>
              </w:rPr>
            </w:pPr>
          </w:p>
        </w:tc>
        <w:tc>
          <w:tcPr>
            <w:tcW w:w="1248" w:type="dxa"/>
            <w:vAlign w:val="bottom"/>
          </w:tcPr>
          <w:p w:rsidR="00CF3D7D" w:rsidRPr="0019732C" w:rsidRDefault="00CF3D7D" w:rsidP="00CF3D7D">
            <w:pPr>
              <w:jc w:val="right"/>
              <w:rPr>
                <w:rFonts w:cs="Arial"/>
                <w:color w:val="000000"/>
                <w:sz w:val="20"/>
                <w:szCs w:val="20"/>
              </w:rPr>
            </w:pPr>
          </w:p>
        </w:tc>
        <w:tc>
          <w:tcPr>
            <w:tcW w:w="1247" w:type="dxa"/>
            <w:vAlign w:val="bottom"/>
          </w:tcPr>
          <w:p w:rsidR="00CF3D7D" w:rsidRPr="0019732C" w:rsidRDefault="00CF3D7D" w:rsidP="00CF3D7D">
            <w:pPr>
              <w:jc w:val="right"/>
              <w:rPr>
                <w:rFonts w:cs="Arial"/>
                <w:color w:val="000000"/>
                <w:sz w:val="20"/>
                <w:szCs w:val="20"/>
              </w:rPr>
            </w:pPr>
          </w:p>
        </w:tc>
        <w:tc>
          <w:tcPr>
            <w:tcW w:w="1248" w:type="dxa"/>
            <w:vAlign w:val="bottom"/>
          </w:tcPr>
          <w:p w:rsidR="00CF3D7D" w:rsidRPr="0019732C" w:rsidRDefault="00CF3D7D" w:rsidP="00CF3D7D">
            <w:pPr>
              <w:jc w:val="right"/>
              <w:rPr>
                <w:rFonts w:cs="Arial"/>
                <w:color w:val="000000"/>
                <w:sz w:val="20"/>
                <w:szCs w:val="20"/>
              </w:rPr>
            </w:pPr>
          </w:p>
        </w:tc>
      </w:tr>
      <w:tr w:rsidR="00CF3D7D" w:rsidRPr="00721976" w:rsidTr="00CF3D7D">
        <w:trPr>
          <w:trHeight w:val="271"/>
        </w:trPr>
        <w:tc>
          <w:tcPr>
            <w:tcW w:w="3685" w:type="dxa"/>
            <w:noWrap/>
            <w:vAlign w:val="center"/>
            <w:hideMark/>
          </w:tcPr>
          <w:p w:rsidR="00CF3D7D" w:rsidRPr="00721976" w:rsidRDefault="00CF3D7D" w:rsidP="00DC694B">
            <w:pPr>
              <w:ind w:left="426"/>
              <w:rPr>
                <w:rFonts w:cs="Arial"/>
                <w:sz w:val="20"/>
                <w:lang w:val="fi-FI" w:eastAsia="fi-FI"/>
              </w:rPr>
            </w:pPr>
            <w:r w:rsidRPr="00721976">
              <w:rPr>
                <w:rFonts w:cs="Arial"/>
                <w:sz w:val="20"/>
                <w:lang w:val="fi-FI" w:eastAsia="fi-FI"/>
              </w:rPr>
              <w:t>TOTAL COMPREHENSIVE INCOME</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213</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-516</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335</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036</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521</w:t>
            </w:r>
          </w:p>
        </w:tc>
      </w:tr>
      <w:tr w:rsidR="00CF3D7D" w:rsidRPr="00721976" w:rsidTr="00CF3D7D">
        <w:trPr>
          <w:trHeight w:val="271"/>
        </w:trPr>
        <w:tc>
          <w:tcPr>
            <w:tcW w:w="3685" w:type="dxa"/>
            <w:noWrap/>
            <w:vAlign w:val="center"/>
          </w:tcPr>
          <w:p w:rsidR="00CF3D7D" w:rsidRPr="00721976" w:rsidRDefault="00CF3D7D" w:rsidP="00DC694B">
            <w:pPr>
              <w:ind w:left="426"/>
              <w:rPr>
                <w:rFonts w:cs="Arial"/>
                <w:sz w:val="20"/>
                <w:lang w:val="fi-FI" w:eastAsia="fi-FI"/>
              </w:rPr>
            </w:pPr>
          </w:p>
        </w:tc>
        <w:tc>
          <w:tcPr>
            <w:tcW w:w="1247"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7"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8"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7" w:type="dxa"/>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c>
          <w:tcPr>
            <w:tcW w:w="1248" w:type="dxa"/>
            <w:noWrap/>
            <w:vAlign w:val="bottom"/>
          </w:tcPr>
          <w:p w:rsidR="00CF3D7D" w:rsidRPr="0019732C" w:rsidRDefault="00CF3D7D" w:rsidP="00CF3D7D">
            <w:pPr>
              <w:rPr>
                <w:rFonts w:cs="Arial"/>
                <w:color w:val="000000"/>
                <w:sz w:val="20"/>
                <w:szCs w:val="20"/>
              </w:rPr>
            </w:pPr>
            <w:r w:rsidRPr="0019732C">
              <w:rPr>
                <w:rFonts w:cs="Arial"/>
                <w:color w:val="000000"/>
                <w:sz w:val="20"/>
                <w:szCs w:val="20"/>
              </w:rPr>
              <w:t> </w:t>
            </w:r>
          </w:p>
        </w:tc>
      </w:tr>
      <w:tr w:rsidR="00CF3D7D" w:rsidRPr="00721976" w:rsidTr="00CF3D7D">
        <w:trPr>
          <w:trHeight w:val="271"/>
        </w:trPr>
        <w:tc>
          <w:tcPr>
            <w:tcW w:w="3685" w:type="dxa"/>
            <w:noWrap/>
            <w:vAlign w:val="center"/>
            <w:hideMark/>
          </w:tcPr>
          <w:p w:rsidR="00CF3D7D" w:rsidRPr="00721976" w:rsidRDefault="00CF3D7D" w:rsidP="00DC694B">
            <w:pPr>
              <w:ind w:left="426"/>
              <w:rPr>
                <w:rFonts w:cs="Arial"/>
                <w:sz w:val="20"/>
                <w:lang w:val="fi-FI" w:eastAsia="fi-FI"/>
              </w:rPr>
            </w:pPr>
            <w:proofErr w:type="spellStart"/>
            <w:r w:rsidRPr="00721976">
              <w:rPr>
                <w:rFonts w:cs="Arial"/>
                <w:sz w:val="20"/>
                <w:lang w:val="fi-FI" w:eastAsia="fi-FI"/>
              </w:rPr>
              <w:t>Attributable</w:t>
            </w:r>
            <w:proofErr w:type="spellEnd"/>
            <w:r w:rsidRPr="00721976">
              <w:rPr>
                <w:rFonts w:cs="Arial"/>
                <w:sz w:val="20"/>
                <w:lang w:val="fi-FI" w:eastAsia="fi-FI"/>
              </w:rPr>
              <w:t xml:space="preserve"> to:</w:t>
            </w:r>
          </w:p>
        </w:tc>
        <w:tc>
          <w:tcPr>
            <w:tcW w:w="1247" w:type="dxa"/>
            <w:vAlign w:val="bottom"/>
          </w:tcPr>
          <w:p w:rsidR="00CF3D7D" w:rsidRPr="0019732C" w:rsidRDefault="00CF3D7D" w:rsidP="00CF3D7D">
            <w:pPr>
              <w:jc w:val="right"/>
              <w:rPr>
                <w:rFonts w:cs="Arial"/>
                <w:color w:val="000000"/>
                <w:sz w:val="20"/>
                <w:szCs w:val="20"/>
              </w:rPr>
            </w:pPr>
          </w:p>
        </w:tc>
        <w:tc>
          <w:tcPr>
            <w:tcW w:w="1247" w:type="dxa"/>
            <w:vAlign w:val="bottom"/>
          </w:tcPr>
          <w:p w:rsidR="00CF3D7D" w:rsidRPr="0019732C" w:rsidRDefault="00CF3D7D" w:rsidP="00CF3D7D">
            <w:pPr>
              <w:jc w:val="right"/>
              <w:rPr>
                <w:rFonts w:cs="Arial"/>
                <w:color w:val="000000"/>
                <w:sz w:val="20"/>
                <w:szCs w:val="20"/>
              </w:rPr>
            </w:pPr>
          </w:p>
        </w:tc>
        <w:tc>
          <w:tcPr>
            <w:tcW w:w="1248" w:type="dxa"/>
            <w:vAlign w:val="bottom"/>
          </w:tcPr>
          <w:p w:rsidR="00CF3D7D" w:rsidRPr="0019732C" w:rsidRDefault="00CF3D7D" w:rsidP="00CF3D7D">
            <w:pPr>
              <w:jc w:val="right"/>
              <w:rPr>
                <w:rFonts w:cs="Arial"/>
                <w:color w:val="000000"/>
                <w:sz w:val="20"/>
                <w:szCs w:val="20"/>
              </w:rPr>
            </w:pPr>
          </w:p>
        </w:tc>
        <w:tc>
          <w:tcPr>
            <w:tcW w:w="1247" w:type="dxa"/>
            <w:vAlign w:val="bottom"/>
          </w:tcPr>
          <w:p w:rsidR="00CF3D7D" w:rsidRPr="0019732C" w:rsidRDefault="00CF3D7D" w:rsidP="00CF3D7D">
            <w:pPr>
              <w:jc w:val="right"/>
              <w:rPr>
                <w:rFonts w:cs="Arial"/>
                <w:color w:val="000000"/>
                <w:sz w:val="20"/>
                <w:szCs w:val="20"/>
              </w:rPr>
            </w:pPr>
          </w:p>
        </w:tc>
        <w:tc>
          <w:tcPr>
            <w:tcW w:w="1248" w:type="dxa"/>
            <w:noWrap/>
            <w:vAlign w:val="bottom"/>
          </w:tcPr>
          <w:p w:rsidR="00CF3D7D" w:rsidRPr="0019732C" w:rsidRDefault="00CF3D7D" w:rsidP="00CF3D7D">
            <w:pPr>
              <w:jc w:val="right"/>
              <w:rPr>
                <w:rFonts w:cs="Arial"/>
                <w:color w:val="000000"/>
                <w:sz w:val="20"/>
                <w:szCs w:val="20"/>
              </w:rPr>
            </w:pPr>
          </w:p>
        </w:tc>
      </w:tr>
      <w:tr w:rsidR="00CF3D7D" w:rsidRPr="00721976" w:rsidTr="00CF3D7D">
        <w:trPr>
          <w:trHeight w:val="271"/>
        </w:trPr>
        <w:tc>
          <w:tcPr>
            <w:tcW w:w="3685" w:type="dxa"/>
            <w:noWrap/>
            <w:vAlign w:val="center"/>
            <w:hideMark/>
          </w:tcPr>
          <w:p w:rsidR="00CF3D7D" w:rsidRPr="00721976" w:rsidRDefault="00CF3D7D" w:rsidP="00DC694B">
            <w:pPr>
              <w:ind w:left="426"/>
              <w:rPr>
                <w:rFonts w:cs="Arial"/>
                <w:sz w:val="20"/>
                <w:lang w:val="en-US" w:eastAsia="fi-FI"/>
              </w:rPr>
            </w:pPr>
            <w:r w:rsidRPr="00721976">
              <w:rPr>
                <w:rFonts w:cs="Arial"/>
                <w:sz w:val="20"/>
                <w:lang w:val="en-US" w:eastAsia="fi-FI"/>
              </w:rPr>
              <w:t>Shareholders of the parent company</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213</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-516</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335</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1</w:t>
            </w:r>
            <w:r w:rsidR="008C4D25">
              <w:rPr>
                <w:rFonts w:cs="Arial"/>
                <w:color w:val="000000"/>
                <w:sz w:val="20"/>
                <w:szCs w:val="20"/>
              </w:rPr>
              <w:t>,</w:t>
            </w:r>
            <w:r w:rsidRPr="0019732C">
              <w:rPr>
                <w:rFonts w:cs="Arial"/>
                <w:color w:val="000000"/>
                <w:sz w:val="20"/>
                <w:szCs w:val="20"/>
              </w:rPr>
              <w:t>036</w:t>
            </w:r>
          </w:p>
        </w:tc>
        <w:tc>
          <w:tcPr>
            <w:tcW w:w="1248" w:type="dxa"/>
            <w:noWrap/>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521</w:t>
            </w:r>
          </w:p>
        </w:tc>
      </w:tr>
      <w:tr w:rsidR="00CF3D7D" w:rsidRPr="00721976" w:rsidTr="00CF3D7D">
        <w:trPr>
          <w:trHeight w:val="271"/>
        </w:trPr>
        <w:tc>
          <w:tcPr>
            <w:tcW w:w="3685" w:type="dxa"/>
            <w:noWrap/>
            <w:vAlign w:val="center"/>
            <w:hideMark/>
          </w:tcPr>
          <w:p w:rsidR="00CF3D7D" w:rsidRPr="00721976" w:rsidRDefault="00CF3D7D" w:rsidP="00DC694B">
            <w:pPr>
              <w:ind w:left="426"/>
              <w:rPr>
                <w:rFonts w:cs="Arial"/>
                <w:sz w:val="20"/>
                <w:lang w:val="fi-FI" w:eastAsia="fi-FI"/>
              </w:rPr>
            </w:pPr>
            <w:proofErr w:type="spellStart"/>
            <w:r w:rsidRPr="00721976">
              <w:rPr>
                <w:rFonts w:cs="Arial"/>
                <w:sz w:val="20"/>
                <w:lang w:val="fi-FI" w:eastAsia="fi-FI"/>
              </w:rPr>
              <w:t>Non-controlling</w:t>
            </w:r>
            <w:proofErr w:type="spellEnd"/>
            <w:r w:rsidRPr="00721976">
              <w:rPr>
                <w:rFonts w:cs="Arial"/>
                <w:sz w:val="20"/>
                <w:lang w:val="fi-FI" w:eastAsia="fi-FI"/>
              </w:rPr>
              <w:t xml:space="preserve"> </w:t>
            </w:r>
            <w:proofErr w:type="spellStart"/>
            <w:r w:rsidRPr="00721976">
              <w:rPr>
                <w:rFonts w:cs="Arial"/>
                <w:sz w:val="20"/>
                <w:lang w:val="fi-FI" w:eastAsia="fi-FI"/>
              </w:rPr>
              <w:t>interest</w:t>
            </w:r>
            <w:proofErr w:type="spellEnd"/>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0</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0</w:t>
            </w:r>
          </w:p>
        </w:tc>
        <w:tc>
          <w:tcPr>
            <w:tcW w:w="1248"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0</w:t>
            </w:r>
          </w:p>
        </w:tc>
        <w:tc>
          <w:tcPr>
            <w:tcW w:w="1247" w:type="dxa"/>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0</w:t>
            </w:r>
          </w:p>
        </w:tc>
        <w:tc>
          <w:tcPr>
            <w:tcW w:w="1248" w:type="dxa"/>
            <w:noWrap/>
            <w:vAlign w:val="bottom"/>
          </w:tcPr>
          <w:p w:rsidR="00CF3D7D" w:rsidRPr="0019732C" w:rsidRDefault="00CF3D7D" w:rsidP="00CF3D7D">
            <w:pPr>
              <w:jc w:val="right"/>
              <w:rPr>
                <w:rFonts w:cs="Arial"/>
                <w:color w:val="000000"/>
                <w:sz w:val="20"/>
                <w:szCs w:val="20"/>
              </w:rPr>
            </w:pPr>
            <w:r w:rsidRPr="0019732C">
              <w:rPr>
                <w:rFonts w:cs="Arial"/>
                <w:color w:val="000000"/>
                <w:sz w:val="20"/>
                <w:szCs w:val="20"/>
              </w:rPr>
              <w:t>0</w:t>
            </w:r>
          </w:p>
        </w:tc>
      </w:tr>
    </w:tbl>
    <w:p w:rsidR="00A466B8" w:rsidRPr="008951BF" w:rsidRDefault="00A466B8" w:rsidP="0065535F">
      <w:pPr>
        <w:ind w:left="709"/>
        <w:rPr>
          <w:rFonts w:cs="Arial"/>
          <w:lang w:val="en-US"/>
        </w:rPr>
      </w:pPr>
    </w:p>
    <w:p w:rsidR="00AD6CF6" w:rsidRDefault="00AD6CF6">
      <w:pPr>
        <w:rPr>
          <w:rFonts w:cs="Arial"/>
          <w:lang w:val="en-US"/>
        </w:rPr>
      </w:pPr>
      <w:r>
        <w:rPr>
          <w:rFonts w:cs="Arial"/>
          <w:lang w:val="en-US"/>
        </w:rPr>
        <w:br w:type="page"/>
      </w:r>
    </w:p>
    <w:p w:rsidR="00A466B8" w:rsidRDefault="00A466B8" w:rsidP="00A466B8">
      <w:pPr>
        <w:rPr>
          <w:rFonts w:cs="Arial"/>
        </w:rPr>
      </w:pPr>
      <w:r w:rsidRPr="008951BF">
        <w:rPr>
          <w:rFonts w:cs="Arial"/>
        </w:rPr>
        <w:lastRenderedPageBreak/>
        <w:t>Annex 2</w:t>
      </w:r>
    </w:p>
    <w:p w:rsidR="00A466B8" w:rsidRPr="00AD6CF6" w:rsidRDefault="003E3697" w:rsidP="00A466B8">
      <w:pPr>
        <w:rPr>
          <w:rFonts w:cs="Arial"/>
          <w:b/>
        </w:rPr>
      </w:pPr>
      <w:r w:rsidRPr="00AD6CF6">
        <w:rPr>
          <w:rFonts w:cs="Arial"/>
          <w:b/>
        </w:rPr>
        <w:t>CONSOLIDATED BALANCE SHEET (IFRS), CONTINUING OPERATIONS</w:t>
      </w:r>
    </w:p>
    <w:p w:rsidR="003E3697" w:rsidRPr="008951BF" w:rsidRDefault="003E3697" w:rsidP="00A466B8">
      <w:pPr>
        <w:rPr>
          <w:rFonts w:cs="Arial"/>
        </w:rPr>
      </w:pPr>
    </w:p>
    <w:tbl>
      <w:tblPr>
        <w:tblStyle w:val="TableSimple1"/>
        <w:tblW w:w="10058" w:type="dxa"/>
        <w:tblLayout w:type="fixed"/>
        <w:tblLook w:val="0000" w:firstRow="0" w:lastRow="0" w:firstColumn="0" w:lastColumn="0" w:noHBand="0" w:noVBand="0"/>
      </w:tblPr>
      <w:tblGrid>
        <w:gridCol w:w="4123"/>
        <w:gridCol w:w="1483"/>
        <w:gridCol w:w="1484"/>
        <w:gridCol w:w="1484"/>
        <w:gridCol w:w="1484"/>
      </w:tblGrid>
      <w:tr w:rsidR="00CF3D7D" w:rsidRPr="003E3697" w:rsidTr="00CF3D7D">
        <w:trPr>
          <w:trHeight w:val="225"/>
        </w:trPr>
        <w:tc>
          <w:tcPr>
            <w:tcW w:w="4123" w:type="dxa"/>
            <w:tcBorders>
              <w:bottom w:val="nil"/>
            </w:tcBorders>
            <w:noWrap/>
          </w:tcPr>
          <w:p w:rsidR="00CF3D7D" w:rsidRPr="003E3697" w:rsidRDefault="00CF3D7D" w:rsidP="00F923C3">
            <w:pPr>
              <w:rPr>
                <w:rFonts w:cs="Arial"/>
                <w:bCs/>
                <w:sz w:val="20"/>
                <w:lang w:eastAsia="fi-FI"/>
              </w:rPr>
            </w:pPr>
          </w:p>
        </w:tc>
        <w:tc>
          <w:tcPr>
            <w:tcW w:w="1483" w:type="dxa"/>
            <w:tcBorders>
              <w:bottom w:val="nil"/>
            </w:tcBorders>
            <w:noWrap/>
          </w:tcPr>
          <w:p w:rsidR="00CF3D7D" w:rsidRPr="003E3697" w:rsidRDefault="00CF3D7D" w:rsidP="00F923C3">
            <w:pPr>
              <w:jc w:val="right"/>
              <w:rPr>
                <w:rFonts w:cs="Arial"/>
                <w:sz w:val="20"/>
                <w:lang w:eastAsia="fi-FI"/>
              </w:rPr>
            </w:pPr>
          </w:p>
        </w:tc>
        <w:tc>
          <w:tcPr>
            <w:tcW w:w="1484" w:type="dxa"/>
            <w:tcBorders>
              <w:bottom w:val="nil"/>
            </w:tcBorders>
          </w:tcPr>
          <w:p w:rsidR="00CF3D7D" w:rsidRPr="003E3697" w:rsidRDefault="00CF3D7D" w:rsidP="00F923C3">
            <w:pPr>
              <w:jc w:val="right"/>
              <w:rPr>
                <w:rFonts w:cs="Arial"/>
                <w:sz w:val="20"/>
                <w:lang w:eastAsia="fi-FI"/>
              </w:rPr>
            </w:pPr>
          </w:p>
        </w:tc>
        <w:tc>
          <w:tcPr>
            <w:tcW w:w="1484" w:type="dxa"/>
            <w:tcBorders>
              <w:bottom w:val="nil"/>
            </w:tcBorders>
          </w:tcPr>
          <w:p w:rsidR="00CF3D7D" w:rsidRPr="003E3697" w:rsidRDefault="00CF3D7D" w:rsidP="00F923C3">
            <w:pPr>
              <w:jc w:val="right"/>
              <w:rPr>
                <w:rFonts w:cs="Arial"/>
                <w:sz w:val="20"/>
                <w:lang w:eastAsia="fi-FI"/>
              </w:rPr>
            </w:pPr>
          </w:p>
        </w:tc>
        <w:tc>
          <w:tcPr>
            <w:tcW w:w="1484" w:type="dxa"/>
            <w:tcBorders>
              <w:bottom w:val="nil"/>
            </w:tcBorders>
          </w:tcPr>
          <w:p w:rsidR="00CF3D7D" w:rsidRPr="003E3697" w:rsidRDefault="00CF3D7D" w:rsidP="00F923C3">
            <w:pPr>
              <w:jc w:val="right"/>
              <w:rPr>
                <w:rFonts w:cs="Arial"/>
                <w:sz w:val="20"/>
                <w:lang w:eastAsia="fi-FI"/>
              </w:rPr>
            </w:pPr>
          </w:p>
        </w:tc>
      </w:tr>
      <w:tr w:rsidR="00CF3D7D" w:rsidRPr="003E3697" w:rsidTr="00CF3D7D">
        <w:trPr>
          <w:trHeight w:val="225"/>
        </w:trPr>
        <w:tc>
          <w:tcPr>
            <w:tcW w:w="4123" w:type="dxa"/>
            <w:tcBorders>
              <w:top w:val="nil"/>
              <w:bottom w:val="single" w:sz="4" w:space="0" w:color="auto"/>
            </w:tcBorders>
            <w:noWrap/>
          </w:tcPr>
          <w:p w:rsidR="00CF3D7D" w:rsidRPr="003E3697" w:rsidRDefault="00CF3D7D" w:rsidP="00F923C3">
            <w:pPr>
              <w:rPr>
                <w:rFonts w:cs="Arial"/>
                <w:color w:val="000000"/>
                <w:sz w:val="20"/>
                <w:lang w:eastAsia="fi-FI"/>
              </w:rPr>
            </w:pPr>
            <w:r w:rsidRPr="003E3697">
              <w:rPr>
                <w:rFonts w:cs="Arial"/>
                <w:sz w:val="20"/>
                <w:lang w:eastAsia="fi-FI"/>
              </w:rPr>
              <w:t>(EUR thousands, unaudited)</w:t>
            </w:r>
          </w:p>
        </w:tc>
        <w:tc>
          <w:tcPr>
            <w:tcW w:w="1483" w:type="dxa"/>
            <w:tcBorders>
              <w:top w:val="nil"/>
              <w:bottom w:val="single" w:sz="4" w:space="0" w:color="auto"/>
            </w:tcBorders>
            <w:noWrap/>
          </w:tcPr>
          <w:p w:rsidR="00CF3D7D" w:rsidRPr="003E3697" w:rsidRDefault="00CF3D7D" w:rsidP="00484933">
            <w:pPr>
              <w:jc w:val="right"/>
              <w:rPr>
                <w:rFonts w:cs="Arial"/>
                <w:color w:val="000000"/>
                <w:sz w:val="20"/>
                <w:lang w:eastAsia="fi-FI"/>
              </w:rPr>
            </w:pPr>
            <w:r>
              <w:rPr>
                <w:rFonts w:cs="Arial"/>
                <w:sz w:val="20"/>
                <w:lang w:eastAsia="fi-FI"/>
              </w:rPr>
              <w:t>30 June 2015</w:t>
            </w:r>
          </w:p>
        </w:tc>
        <w:tc>
          <w:tcPr>
            <w:tcW w:w="1484" w:type="dxa"/>
            <w:tcBorders>
              <w:top w:val="nil"/>
              <w:bottom w:val="single" w:sz="4" w:space="0" w:color="auto"/>
            </w:tcBorders>
          </w:tcPr>
          <w:p w:rsidR="00CF3D7D" w:rsidRPr="003E3697" w:rsidRDefault="00CF3D7D" w:rsidP="00F923C3">
            <w:pPr>
              <w:jc w:val="right"/>
              <w:rPr>
                <w:rFonts w:cs="Arial"/>
                <w:color w:val="000000"/>
                <w:sz w:val="20"/>
                <w:lang w:eastAsia="fi-FI"/>
              </w:rPr>
            </w:pPr>
            <w:r>
              <w:rPr>
                <w:rFonts w:cs="Arial"/>
                <w:color w:val="000000"/>
                <w:sz w:val="20"/>
                <w:lang w:eastAsia="fi-FI"/>
              </w:rPr>
              <w:t>30 June 2014</w:t>
            </w:r>
          </w:p>
        </w:tc>
        <w:tc>
          <w:tcPr>
            <w:tcW w:w="1484" w:type="dxa"/>
            <w:tcBorders>
              <w:top w:val="nil"/>
              <w:bottom w:val="single" w:sz="4" w:space="0" w:color="auto"/>
            </w:tcBorders>
          </w:tcPr>
          <w:p w:rsidR="00CF3D7D" w:rsidRPr="003E3697" w:rsidRDefault="00CF3D7D" w:rsidP="00F923C3">
            <w:pPr>
              <w:jc w:val="right"/>
              <w:rPr>
                <w:rFonts w:cs="Arial"/>
                <w:color w:val="000000"/>
                <w:sz w:val="20"/>
                <w:lang w:eastAsia="fi-FI"/>
              </w:rPr>
            </w:pPr>
            <w:r w:rsidRPr="003E3697">
              <w:rPr>
                <w:rFonts w:cs="Arial"/>
                <w:color w:val="000000"/>
                <w:sz w:val="20"/>
                <w:lang w:eastAsia="fi-FI"/>
              </w:rPr>
              <w:t>Change, %</w:t>
            </w:r>
          </w:p>
        </w:tc>
        <w:tc>
          <w:tcPr>
            <w:tcW w:w="1484" w:type="dxa"/>
            <w:tcBorders>
              <w:top w:val="nil"/>
              <w:bottom w:val="single" w:sz="4" w:space="0" w:color="auto"/>
            </w:tcBorders>
          </w:tcPr>
          <w:p w:rsidR="00CF3D7D" w:rsidRPr="003E3697" w:rsidRDefault="00CF3D7D" w:rsidP="00CF3D7D">
            <w:pPr>
              <w:jc w:val="right"/>
              <w:rPr>
                <w:rFonts w:cs="Arial"/>
                <w:sz w:val="20"/>
                <w:lang w:eastAsia="fi-FI"/>
              </w:rPr>
            </w:pPr>
            <w:r w:rsidRPr="003E3697">
              <w:rPr>
                <w:rFonts w:cs="Arial"/>
                <w:color w:val="000000"/>
                <w:sz w:val="20"/>
                <w:lang w:eastAsia="fi-FI"/>
              </w:rPr>
              <w:t>31 December 201</w:t>
            </w:r>
            <w:r>
              <w:rPr>
                <w:rFonts w:cs="Arial"/>
                <w:color w:val="000000"/>
                <w:sz w:val="20"/>
                <w:lang w:eastAsia="fi-FI"/>
              </w:rPr>
              <w:t>4</w:t>
            </w:r>
          </w:p>
        </w:tc>
      </w:tr>
      <w:tr w:rsidR="00CF3D7D" w:rsidRPr="003E3697" w:rsidTr="00CF3D7D">
        <w:trPr>
          <w:trHeight w:val="225"/>
        </w:trPr>
        <w:tc>
          <w:tcPr>
            <w:tcW w:w="4123" w:type="dxa"/>
            <w:tcBorders>
              <w:top w:val="single" w:sz="4" w:space="0" w:color="auto"/>
            </w:tcBorders>
            <w:noWrap/>
          </w:tcPr>
          <w:p w:rsidR="00CF3D7D" w:rsidRPr="003E3697" w:rsidRDefault="00CF3D7D" w:rsidP="00F923C3">
            <w:pPr>
              <w:rPr>
                <w:rFonts w:cs="Arial"/>
                <w:sz w:val="20"/>
                <w:lang w:eastAsia="fi-FI"/>
              </w:rPr>
            </w:pPr>
          </w:p>
        </w:tc>
        <w:tc>
          <w:tcPr>
            <w:tcW w:w="1483" w:type="dxa"/>
            <w:tcBorders>
              <w:top w:val="single" w:sz="4" w:space="0" w:color="auto"/>
            </w:tcBorders>
            <w:noWrap/>
          </w:tcPr>
          <w:p w:rsidR="00CF3D7D" w:rsidRPr="003E3697" w:rsidRDefault="00CF3D7D" w:rsidP="00F923C3">
            <w:pPr>
              <w:jc w:val="right"/>
              <w:rPr>
                <w:rFonts w:cs="Arial"/>
                <w:sz w:val="20"/>
                <w:lang w:eastAsia="fi-FI"/>
              </w:rPr>
            </w:pPr>
          </w:p>
        </w:tc>
        <w:tc>
          <w:tcPr>
            <w:tcW w:w="1484" w:type="dxa"/>
            <w:tcBorders>
              <w:top w:val="single" w:sz="4" w:space="0" w:color="auto"/>
            </w:tcBorders>
          </w:tcPr>
          <w:p w:rsidR="00CF3D7D" w:rsidRPr="003E3697" w:rsidRDefault="00CF3D7D" w:rsidP="00F923C3">
            <w:pPr>
              <w:jc w:val="right"/>
              <w:rPr>
                <w:rFonts w:cs="Arial"/>
                <w:sz w:val="20"/>
                <w:lang w:eastAsia="fi-FI"/>
              </w:rPr>
            </w:pPr>
          </w:p>
        </w:tc>
        <w:tc>
          <w:tcPr>
            <w:tcW w:w="1484" w:type="dxa"/>
            <w:tcBorders>
              <w:top w:val="single" w:sz="4" w:space="0" w:color="auto"/>
            </w:tcBorders>
          </w:tcPr>
          <w:p w:rsidR="00CF3D7D" w:rsidRPr="003E3697" w:rsidRDefault="00CF3D7D" w:rsidP="00F923C3">
            <w:pPr>
              <w:jc w:val="right"/>
              <w:rPr>
                <w:rFonts w:cs="Arial"/>
                <w:sz w:val="20"/>
                <w:lang w:eastAsia="fi-FI"/>
              </w:rPr>
            </w:pPr>
          </w:p>
        </w:tc>
        <w:tc>
          <w:tcPr>
            <w:tcW w:w="1484" w:type="dxa"/>
            <w:tcBorders>
              <w:top w:val="single" w:sz="4" w:space="0" w:color="auto"/>
            </w:tcBorders>
          </w:tcPr>
          <w:p w:rsidR="00CF3D7D" w:rsidRPr="003E3697" w:rsidRDefault="00CF3D7D" w:rsidP="00F923C3">
            <w:pPr>
              <w:jc w:val="right"/>
              <w:rPr>
                <w:rFonts w:cs="Arial"/>
                <w:sz w:val="20"/>
                <w:lang w:eastAsia="fi-FI"/>
              </w:rPr>
            </w:pPr>
          </w:p>
        </w:tc>
      </w:tr>
      <w:tr w:rsidR="00CF3D7D" w:rsidRPr="003E3697" w:rsidTr="00CF3D7D">
        <w:trPr>
          <w:trHeight w:val="225"/>
        </w:trPr>
        <w:tc>
          <w:tcPr>
            <w:tcW w:w="4123" w:type="dxa"/>
            <w:noWrap/>
          </w:tcPr>
          <w:p w:rsidR="00CF3D7D" w:rsidRPr="003E3697" w:rsidRDefault="00CF3D7D" w:rsidP="00F923C3">
            <w:pPr>
              <w:rPr>
                <w:rFonts w:cs="Arial"/>
                <w:b/>
                <w:sz w:val="20"/>
                <w:lang w:eastAsia="fi-FI"/>
              </w:rPr>
            </w:pPr>
            <w:r w:rsidRPr="003E3697">
              <w:rPr>
                <w:rFonts w:cs="Arial"/>
                <w:b/>
                <w:sz w:val="20"/>
                <w:lang w:eastAsia="fi-FI"/>
              </w:rPr>
              <w:t>ASSETS</w:t>
            </w:r>
          </w:p>
        </w:tc>
        <w:tc>
          <w:tcPr>
            <w:tcW w:w="1483" w:type="dxa"/>
            <w:noWrap/>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p>
        </w:tc>
        <w:tc>
          <w:tcPr>
            <w:tcW w:w="1483" w:type="dxa"/>
            <w:noWrap/>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r>
      <w:tr w:rsidR="00CF3D7D" w:rsidRPr="003E3697" w:rsidTr="00CF3D7D">
        <w:trPr>
          <w:trHeight w:val="80"/>
        </w:trPr>
        <w:tc>
          <w:tcPr>
            <w:tcW w:w="4123" w:type="dxa"/>
            <w:noWrap/>
          </w:tcPr>
          <w:p w:rsidR="00CF3D7D" w:rsidRPr="003E3697" w:rsidRDefault="00CF3D7D" w:rsidP="00F923C3">
            <w:pPr>
              <w:rPr>
                <w:rFonts w:cs="Arial"/>
                <w:sz w:val="20"/>
                <w:lang w:eastAsia="fi-FI"/>
              </w:rPr>
            </w:pPr>
            <w:r w:rsidRPr="003E3697">
              <w:rPr>
                <w:rFonts w:cs="Arial"/>
                <w:sz w:val="20"/>
                <w:lang w:eastAsia="fi-FI"/>
              </w:rPr>
              <w:t>NON-CURRENT ASSETS</w:t>
            </w:r>
          </w:p>
        </w:tc>
        <w:tc>
          <w:tcPr>
            <w:tcW w:w="1483" w:type="dxa"/>
            <w:noWrap/>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rPr>
            </w:pPr>
          </w:p>
        </w:tc>
        <w:tc>
          <w:tcPr>
            <w:tcW w:w="1484" w:type="dxa"/>
          </w:tcPr>
          <w:p w:rsidR="00CF3D7D" w:rsidRPr="003E3697" w:rsidRDefault="00CF3D7D" w:rsidP="00F923C3">
            <w:pPr>
              <w:jc w:val="right"/>
              <w:rPr>
                <w:rFonts w:cs="Arial"/>
                <w:sz w:val="20"/>
              </w:rPr>
            </w:pPr>
          </w:p>
        </w:tc>
        <w:tc>
          <w:tcPr>
            <w:tcW w:w="1484" w:type="dxa"/>
          </w:tcPr>
          <w:p w:rsidR="00CF3D7D" w:rsidRPr="003E3697" w:rsidRDefault="00CF3D7D" w:rsidP="00F923C3">
            <w:pPr>
              <w:jc w:val="right"/>
              <w:rPr>
                <w:rFonts w:cs="Arial"/>
                <w:sz w:val="20"/>
              </w:rPr>
            </w:pP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Property, plant and equipment</w:t>
            </w:r>
          </w:p>
        </w:tc>
        <w:tc>
          <w:tcPr>
            <w:tcW w:w="1483" w:type="dxa"/>
            <w:noWrap/>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2</w:t>
            </w:r>
            <w:r w:rsidR="008C4D25">
              <w:rPr>
                <w:rFonts w:cs="Arial"/>
                <w:color w:val="000000"/>
                <w:sz w:val="20"/>
                <w:szCs w:val="20"/>
                <w:lang w:val="fi-FI"/>
              </w:rPr>
              <w:t>,</w:t>
            </w:r>
            <w:r w:rsidRPr="00747871">
              <w:rPr>
                <w:rFonts w:cs="Arial"/>
                <w:color w:val="000000"/>
                <w:sz w:val="20"/>
                <w:szCs w:val="20"/>
                <w:lang w:val="fi-FI"/>
              </w:rPr>
              <w:t>227</w:t>
            </w:r>
          </w:p>
        </w:tc>
        <w:tc>
          <w:tcPr>
            <w:tcW w:w="1484" w:type="dxa"/>
            <w:vAlign w:val="bottom"/>
          </w:tcPr>
          <w:p w:rsidR="00CF3D7D" w:rsidRPr="00747871" w:rsidRDefault="00CF3D7D" w:rsidP="00CF3D7D">
            <w:pPr>
              <w:jc w:val="right"/>
              <w:rPr>
                <w:rFonts w:cs="Arial"/>
                <w:sz w:val="20"/>
                <w:szCs w:val="20"/>
                <w:lang w:val="fi-FI"/>
              </w:rPr>
            </w:pPr>
            <w:r w:rsidRPr="00747871">
              <w:rPr>
                <w:rFonts w:cs="Arial"/>
                <w:sz w:val="20"/>
                <w:szCs w:val="20"/>
                <w:lang w:val="fi-FI"/>
              </w:rPr>
              <w:t>1</w:t>
            </w:r>
            <w:r w:rsidR="008C4D25">
              <w:rPr>
                <w:rFonts w:cs="Arial"/>
                <w:sz w:val="20"/>
                <w:szCs w:val="20"/>
                <w:lang w:val="fi-FI"/>
              </w:rPr>
              <w:t>,</w:t>
            </w:r>
            <w:r w:rsidRPr="00747871">
              <w:rPr>
                <w:rFonts w:cs="Arial"/>
                <w:sz w:val="20"/>
                <w:szCs w:val="20"/>
                <w:lang w:val="fi-FI"/>
              </w:rPr>
              <w:t>699</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31</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1</w:t>
            </w:r>
            <w:r w:rsidR="008C4D25">
              <w:rPr>
                <w:rFonts w:cs="Arial"/>
                <w:color w:val="000000"/>
                <w:sz w:val="20"/>
                <w:szCs w:val="20"/>
                <w:lang w:val="fi-FI"/>
              </w:rPr>
              <w:t>,</w:t>
            </w:r>
            <w:r w:rsidRPr="00747871">
              <w:rPr>
                <w:rFonts w:cs="Arial"/>
                <w:color w:val="000000"/>
                <w:sz w:val="20"/>
                <w:szCs w:val="20"/>
                <w:lang w:val="fi-FI"/>
              </w:rPr>
              <w:t>519</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Goodwill</w:t>
            </w:r>
          </w:p>
        </w:tc>
        <w:tc>
          <w:tcPr>
            <w:tcW w:w="1483" w:type="dxa"/>
            <w:noWrap/>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947</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883</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7</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910</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Other intangible assets</w:t>
            </w:r>
          </w:p>
        </w:tc>
        <w:tc>
          <w:tcPr>
            <w:tcW w:w="1483" w:type="dxa"/>
            <w:noWrap/>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50</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71</w:t>
            </w:r>
          </w:p>
        </w:tc>
        <w:tc>
          <w:tcPr>
            <w:tcW w:w="1484" w:type="dxa"/>
            <w:vAlign w:val="bottom"/>
          </w:tcPr>
          <w:p w:rsidR="00CF3D7D" w:rsidRPr="00747871" w:rsidRDefault="00CF3D7D" w:rsidP="00CF3D7D">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30</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56</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Other financial assets</w:t>
            </w:r>
          </w:p>
        </w:tc>
        <w:tc>
          <w:tcPr>
            <w:tcW w:w="1483" w:type="dxa"/>
            <w:noWrap/>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1</w:t>
            </w:r>
            <w:r w:rsidR="008C4D25">
              <w:rPr>
                <w:rFonts w:cs="Arial"/>
                <w:color w:val="000000"/>
                <w:sz w:val="20"/>
                <w:szCs w:val="20"/>
                <w:lang w:val="fi-FI"/>
              </w:rPr>
              <w:t>,</w:t>
            </w:r>
            <w:r w:rsidRPr="00747871">
              <w:rPr>
                <w:rFonts w:cs="Arial"/>
                <w:color w:val="000000"/>
                <w:sz w:val="20"/>
                <w:szCs w:val="20"/>
                <w:lang w:val="fi-FI"/>
              </w:rPr>
              <w:t>258</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1</w:t>
            </w:r>
            <w:r w:rsidR="008C4D25">
              <w:rPr>
                <w:rFonts w:cs="Arial"/>
                <w:color w:val="000000"/>
                <w:sz w:val="20"/>
                <w:szCs w:val="20"/>
                <w:lang w:val="fi-FI"/>
              </w:rPr>
              <w:t>,</w:t>
            </w:r>
            <w:r w:rsidRPr="00747871">
              <w:rPr>
                <w:rFonts w:cs="Arial"/>
                <w:color w:val="000000"/>
                <w:sz w:val="20"/>
                <w:szCs w:val="20"/>
                <w:lang w:val="fi-FI"/>
              </w:rPr>
              <w:t>029</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22</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1</w:t>
            </w:r>
            <w:r w:rsidR="008C4D25">
              <w:rPr>
                <w:rFonts w:cs="Arial"/>
                <w:color w:val="000000"/>
                <w:sz w:val="20"/>
                <w:szCs w:val="20"/>
                <w:lang w:val="fi-FI"/>
              </w:rPr>
              <w:t>,</w:t>
            </w:r>
            <w:r w:rsidRPr="00747871">
              <w:rPr>
                <w:rFonts w:cs="Arial"/>
                <w:color w:val="000000"/>
                <w:sz w:val="20"/>
                <w:szCs w:val="20"/>
                <w:lang w:val="fi-FI"/>
              </w:rPr>
              <w:t>079</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Deferred tax assets</w:t>
            </w:r>
          </w:p>
        </w:tc>
        <w:tc>
          <w:tcPr>
            <w:tcW w:w="1483" w:type="dxa"/>
            <w:noWrap/>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0</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0</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0</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0</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b/>
                <w:sz w:val="20"/>
                <w:lang w:eastAsia="fi-FI"/>
              </w:rPr>
              <w:t>TOTAL NON-CURRENT ASSETS</w:t>
            </w:r>
          </w:p>
        </w:tc>
        <w:tc>
          <w:tcPr>
            <w:tcW w:w="1483" w:type="dxa"/>
            <w:noWrap/>
            <w:vAlign w:val="bottom"/>
          </w:tcPr>
          <w:p w:rsidR="00CF3D7D" w:rsidRPr="00747871" w:rsidRDefault="00CF3D7D" w:rsidP="00CF3D7D">
            <w:pPr>
              <w:jc w:val="right"/>
              <w:rPr>
                <w:rFonts w:cs="Arial"/>
                <w:b/>
                <w:bCs/>
                <w:color w:val="000000"/>
                <w:sz w:val="20"/>
                <w:szCs w:val="20"/>
                <w:lang w:val="fi-FI"/>
              </w:rPr>
            </w:pPr>
            <w:r w:rsidRPr="00747871">
              <w:rPr>
                <w:rFonts w:cs="Arial"/>
                <w:b/>
                <w:bCs/>
                <w:color w:val="000000"/>
                <w:sz w:val="20"/>
                <w:szCs w:val="20"/>
                <w:lang w:val="fi-FI"/>
              </w:rPr>
              <w:t>4</w:t>
            </w:r>
            <w:r w:rsidR="008C4D25">
              <w:rPr>
                <w:rFonts w:cs="Arial"/>
                <w:b/>
                <w:bCs/>
                <w:color w:val="000000"/>
                <w:sz w:val="20"/>
                <w:szCs w:val="20"/>
                <w:lang w:val="fi-FI"/>
              </w:rPr>
              <w:t>,</w:t>
            </w:r>
            <w:r w:rsidRPr="00747871">
              <w:rPr>
                <w:rFonts w:cs="Arial"/>
                <w:b/>
                <w:bCs/>
                <w:color w:val="000000"/>
                <w:sz w:val="20"/>
                <w:szCs w:val="20"/>
                <w:lang w:val="fi-FI"/>
              </w:rPr>
              <w:t>482</w:t>
            </w:r>
          </w:p>
        </w:tc>
        <w:tc>
          <w:tcPr>
            <w:tcW w:w="1484" w:type="dxa"/>
            <w:vAlign w:val="bottom"/>
          </w:tcPr>
          <w:p w:rsidR="00CF3D7D" w:rsidRPr="00747871" w:rsidRDefault="00CF3D7D" w:rsidP="00CF3D7D">
            <w:pPr>
              <w:jc w:val="right"/>
              <w:rPr>
                <w:rFonts w:cs="Arial"/>
                <w:b/>
                <w:bCs/>
                <w:color w:val="000000"/>
                <w:sz w:val="20"/>
                <w:szCs w:val="20"/>
                <w:lang w:val="fi-FI"/>
              </w:rPr>
            </w:pPr>
            <w:r w:rsidRPr="00747871">
              <w:rPr>
                <w:rFonts w:cs="Arial"/>
                <w:b/>
                <w:bCs/>
                <w:color w:val="000000"/>
                <w:sz w:val="20"/>
                <w:szCs w:val="20"/>
                <w:lang w:val="fi-FI"/>
              </w:rPr>
              <w:t>3</w:t>
            </w:r>
            <w:r w:rsidR="008C4D25">
              <w:rPr>
                <w:rFonts w:cs="Arial"/>
                <w:b/>
                <w:bCs/>
                <w:color w:val="000000"/>
                <w:sz w:val="20"/>
                <w:szCs w:val="20"/>
                <w:lang w:val="fi-FI"/>
              </w:rPr>
              <w:t>,</w:t>
            </w:r>
            <w:r w:rsidRPr="00747871">
              <w:rPr>
                <w:rFonts w:cs="Arial"/>
                <w:b/>
                <w:bCs/>
                <w:color w:val="000000"/>
                <w:sz w:val="20"/>
                <w:szCs w:val="20"/>
                <w:lang w:val="fi-FI"/>
              </w:rPr>
              <w:t>682</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22</w:t>
            </w:r>
          </w:p>
        </w:tc>
        <w:tc>
          <w:tcPr>
            <w:tcW w:w="1484" w:type="dxa"/>
            <w:vAlign w:val="bottom"/>
          </w:tcPr>
          <w:p w:rsidR="00CF3D7D" w:rsidRPr="00747871" w:rsidRDefault="00CF3D7D" w:rsidP="00CF3D7D">
            <w:pPr>
              <w:jc w:val="right"/>
              <w:rPr>
                <w:rFonts w:cs="Arial"/>
                <w:b/>
                <w:bCs/>
                <w:color w:val="000000"/>
                <w:sz w:val="20"/>
                <w:szCs w:val="20"/>
                <w:lang w:val="fi-FI"/>
              </w:rPr>
            </w:pPr>
            <w:r w:rsidRPr="00747871">
              <w:rPr>
                <w:rFonts w:cs="Arial"/>
                <w:b/>
                <w:bCs/>
                <w:color w:val="000000"/>
                <w:sz w:val="20"/>
                <w:szCs w:val="20"/>
                <w:lang w:val="fi-FI"/>
              </w:rPr>
              <w:t>3</w:t>
            </w:r>
            <w:r w:rsidR="008C4D25">
              <w:rPr>
                <w:rFonts w:cs="Arial"/>
                <w:b/>
                <w:bCs/>
                <w:color w:val="000000"/>
                <w:sz w:val="20"/>
                <w:szCs w:val="20"/>
                <w:lang w:val="fi-FI"/>
              </w:rPr>
              <w:t>,</w:t>
            </w:r>
            <w:r w:rsidRPr="00747871">
              <w:rPr>
                <w:rFonts w:cs="Arial"/>
                <w:b/>
                <w:bCs/>
                <w:color w:val="000000"/>
                <w:sz w:val="20"/>
                <w:szCs w:val="20"/>
                <w:lang w:val="fi-FI"/>
              </w:rPr>
              <w:t>565</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p>
        </w:tc>
        <w:tc>
          <w:tcPr>
            <w:tcW w:w="1483" w:type="dxa"/>
            <w:noWrap/>
          </w:tcPr>
          <w:p w:rsidR="00CF3D7D" w:rsidRPr="003E3697" w:rsidRDefault="00CF3D7D" w:rsidP="008951BF">
            <w:pPr>
              <w:ind w:left="426"/>
              <w:jc w:val="right"/>
              <w:rPr>
                <w:rFonts w:cs="Arial"/>
                <w:sz w:val="20"/>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rPr>
            </w:pP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CURRENT ASSETS</w:t>
            </w:r>
          </w:p>
        </w:tc>
        <w:tc>
          <w:tcPr>
            <w:tcW w:w="1483" w:type="dxa"/>
            <w:noWrap/>
          </w:tcPr>
          <w:p w:rsidR="00CF3D7D" w:rsidRPr="003E3697" w:rsidRDefault="00CF3D7D" w:rsidP="008951BF">
            <w:pPr>
              <w:ind w:left="426"/>
              <w:jc w:val="right"/>
              <w:rPr>
                <w:rFonts w:cs="Arial"/>
                <w:b/>
                <w:bCs/>
                <w:sz w:val="20"/>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b/>
                <w:bCs/>
                <w:sz w:val="20"/>
              </w:rPr>
            </w:pP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Inventories</w:t>
            </w:r>
          </w:p>
        </w:tc>
        <w:tc>
          <w:tcPr>
            <w:tcW w:w="1483" w:type="dxa"/>
            <w:noWrap/>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4</w:t>
            </w:r>
            <w:r w:rsidR="008C4D25">
              <w:rPr>
                <w:rFonts w:cs="Arial"/>
                <w:color w:val="000000"/>
                <w:sz w:val="20"/>
                <w:szCs w:val="20"/>
                <w:lang w:val="fi-FI"/>
              </w:rPr>
              <w:t>,</w:t>
            </w:r>
            <w:r w:rsidRPr="00747871">
              <w:rPr>
                <w:rFonts w:cs="Arial"/>
                <w:color w:val="000000"/>
                <w:sz w:val="20"/>
                <w:szCs w:val="20"/>
                <w:lang w:val="fi-FI"/>
              </w:rPr>
              <w:t>869</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4</w:t>
            </w:r>
            <w:r w:rsidR="008C4D25">
              <w:rPr>
                <w:rFonts w:cs="Arial"/>
                <w:color w:val="000000"/>
                <w:sz w:val="20"/>
                <w:szCs w:val="20"/>
                <w:lang w:val="fi-FI"/>
              </w:rPr>
              <w:t>,</w:t>
            </w:r>
            <w:r w:rsidRPr="00747871">
              <w:rPr>
                <w:rFonts w:cs="Arial"/>
                <w:color w:val="000000"/>
                <w:sz w:val="20"/>
                <w:szCs w:val="20"/>
                <w:lang w:val="fi-FI"/>
              </w:rPr>
              <w:t>351</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12</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3</w:t>
            </w:r>
            <w:r w:rsidR="008C4D25">
              <w:rPr>
                <w:rFonts w:cs="Arial"/>
                <w:color w:val="000000"/>
                <w:sz w:val="20"/>
                <w:szCs w:val="20"/>
                <w:lang w:val="fi-FI"/>
              </w:rPr>
              <w:t>,</w:t>
            </w:r>
            <w:r w:rsidRPr="00747871">
              <w:rPr>
                <w:rFonts w:cs="Arial"/>
                <w:color w:val="000000"/>
                <w:sz w:val="20"/>
                <w:szCs w:val="20"/>
                <w:lang w:val="fi-FI"/>
              </w:rPr>
              <w:t>371</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Trade and other receivables</w:t>
            </w:r>
          </w:p>
        </w:tc>
        <w:tc>
          <w:tcPr>
            <w:tcW w:w="1483" w:type="dxa"/>
            <w:noWrap/>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5</w:t>
            </w:r>
            <w:r w:rsidR="008C4D25">
              <w:rPr>
                <w:rFonts w:cs="Arial"/>
                <w:color w:val="000000"/>
                <w:sz w:val="20"/>
                <w:szCs w:val="20"/>
                <w:lang w:val="fi-FI"/>
              </w:rPr>
              <w:t>,</w:t>
            </w:r>
            <w:r w:rsidRPr="00747871">
              <w:rPr>
                <w:rFonts w:cs="Arial"/>
                <w:color w:val="000000"/>
                <w:sz w:val="20"/>
                <w:szCs w:val="20"/>
                <w:lang w:val="fi-FI"/>
              </w:rPr>
              <w:t>549</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4</w:t>
            </w:r>
            <w:r w:rsidR="008C4D25">
              <w:rPr>
                <w:rFonts w:cs="Arial"/>
                <w:color w:val="000000"/>
                <w:sz w:val="20"/>
                <w:szCs w:val="20"/>
                <w:lang w:val="fi-FI"/>
              </w:rPr>
              <w:t>,</w:t>
            </w:r>
            <w:r w:rsidRPr="00747871">
              <w:rPr>
                <w:rFonts w:cs="Arial"/>
                <w:color w:val="000000"/>
                <w:sz w:val="20"/>
                <w:szCs w:val="20"/>
                <w:lang w:val="fi-FI"/>
              </w:rPr>
              <w:t>756</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17</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5</w:t>
            </w:r>
            <w:r w:rsidR="008C4D25">
              <w:rPr>
                <w:rFonts w:cs="Arial"/>
                <w:color w:val="000000"/>
                <w:sz w:val="20"/>
                <w:szCs w:val="20"/>
                <w:lang w:val="fi-FI"/>
              </w:rPr>
              <w:t>,</w:t>
            </w:r>
            <w:r w:rsidRPr="00747871">
              <w:rPr>
                <w:rFonts w:cs="Arial"/>
                <w:color w:val="000000"/>
                <w:sz w:val="20"/>
                <w:szCs w:val="20"/>
                <w:lang w:val="fi-FI"/>
              </w:rPr>
              <w:t>585</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Cash and cash equivalents</w:t>
            </w:r>
          </w:p>
        </w:tc>
        <w:tc>
          <w:tcPr>
            <w:tcW w:w="1483" w:type="dxa"/>
            <w:noWrap/>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2</w:t>
            </w:r>
            <w:r w:rsidR="008C4D25">
              <w:rPr>
                <w:rFonts w:cs="Arial"/>
                <w:color w:val="000000"/>
                <w:sz w:val="20"/>
                <w:szCs w:val="20"/>
                <w:lang w:val="fi-FI"/>
              </w:rPr>
              <w:t>,</w:t>
            </w:r>
            <w:r w:rsidRPr="00747871">
              <w:rPr>
                <w:rFonts w:cs="Arial"/>
                <w:color w:val="000000"/>
                <w:sz w:val="20"/>
                <w:szCs w:val="20"/>
                <w:lang w:val="fi-FI"/>
              </w:rPr>
              <w:t>699</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1</w:t>
            </w:r>
            <w:r w:rsidR="008C4D25">
              <w:rPr>
                <w:rFonts w:cs="Arial"/>
                <w:color w:val="000000"/>
                <w:sz w:val="20"/>
                <w:szCs w:val="20"/>
                <w:lang w:val="fi-FI"/>
              </w:rPr>
              <w:t>,</w:t>
            </w:r>
            <w:r w:rsidRPr="00747871">
              <w:rPr>
                <w:rFonts w:cs="Arial"/>
                <w:color w:val="000000"/>
                <w:sz w:val="20"/>
                <w:szCs w:val="20"/>
                <w:lang w:val="fi-FI"/>
              </w:rPr>
              <w:t>048</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158</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1</w:t>
            </w:r>
            <w:r w:rsidR="008C4D25">
              <w:rPr>
                <w:rFonts w:cs="Arial"/>
                <w:color w:val="000000"/>
                <w:sz w:val="20"/>
                <w:szCs w:val="20"/>
                <w:lang w:val="fi-FI"/>
              </w:rPr>
              <w:t>,</w:t>
            </w:r>
            <w:r w:rsidRPr="00747871">
              <w:rPr>
                <w:rFonts w:cs="Arial"/>
                <w:color w:val="000000"/>
                <w:sz w:val="20"/>
                <w:szCs w:val="20"/>
                <w:lang w:val="fi-FI"/>
              </w:rPr>
              <w:t>873</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b/>
                <w:sz w:val="20"/>
                <w:lang w:eastAsia="fi-FI"/>
              </w:rPr>
              <w:t>TOTAL CURRENT ASSETS</w:t>
            </w:r>
          </w:p>
        </w:tc>
        <w:tc>
          <w:tcPr>
            <w:tcW w:w="1483" w:type="dxa"/>
            <w:noWrap/>
            <w:vAlign w:val="bottom"/>
          </w:tcPr>
          <w:p w:rsidR="00CF3D7D" w:rsidRPr="00747871" w:rsidRDefault="00CF3D7D" w:rsidP="00CF3D7D">
            <w:pPr>
              <w:jc w:val="right"/>
              <w:rPr>
                <w:rFonts w:cs="Arial"/>
                <w:b/>
                <w:bCs/>
                <w:color w:val="000000"/>
                <w:sz w:val="20"/>
                <w:szCs w:val="20"/>
                <w:lang w:val="fi-FI"/>
              </w:rPr>
            </w:pPr>
            <w:r w:rsidRPr="00747871">
              <w:rPr>
                <w:rFonts w:cs="Arial"/>
                <w:b/>
                <w:bCs/>
                <w:color w:val="000000"/>
                <w:sz w:val="20"/>
                <w:szCs w:val="20"/>
                <w:lang w:val="fi-FI"/>
              </w:rPr>
              <w:t>13</w:t>
            </w:r>
            <w:r w:rsidR="008C4D25">
              <w:rPr>
                <w:rFonts w:cs="Arial"/>
                <w:b/>
                <w:bCs/>
                <w:color w:val="000000"/>
                <w:sz w:val="20"/>
                <w:szCs w:val="20"/>
                <w:lang w:val="fi-FI"/>
              </w:rPr>
              <w:t>,</w:t>
            </w:r>
            <w:r w:rsidRPr="00747871">
              <w:rPr>
                <w:rFonts w:cs="Arial"/>
                <w:b/>
                <w:bCs/>
                <w:color w:val="000000"/>
                <w:sz w:val="20"/>
                <w:szCs w:val="20"/>
                <w:lang w:val="fi-FI"/>
              </w:rPr>
              <w:t>117</w:t>
            </w:r>
          </w:p>
        </w:tc>
        <w:tc>
          <w:tcPr>
            <w:tcW w:w="1484" w:type="dxa"/>
            <w:vAlign w:val="bottom"/>
          </w:tcPr>
          <w:p w:rsidR="00CF3D7D" w:rsidRPr="00747871" w:rsidRDefault="00CF3D7D" w:rsidP="00CF3D7D">
            <w:pPr>
              <w:jc w:val="right"/>
              <w:rPr>
                <w:rFonts w:cs="Arial"/>
                <w:b/>
                <w:bCs/>
                <w:color w:val="000000"/>
                <w:sz w:val="20"/>
                <w:szCs w:val="20"/>
                <w:lang w:val="fi-FI"/>
              </w:rPr>
            </w:pPr>
            <w:r w:rsidRPr="00747871">
              <w:rPr>
                <w:rFonts w:cs="Arial"/>
                <w:b/>
                <w:bCs/>
                <w:color w:val="000000"/>
                <w:sz w:val="20"/>
                <w:szCs w:val="20"/>
                <w:lang w:val="fi-FI"/>
              </w:rPr>
              <w:t>10</w:t>
            </w:r>
            <w:r w:rsidR="008C4D25">
              <w:rPr>
                <w:rFonts w:cs="Arial"/>
                <w:b/>
                <w:bCs/>
                <w:color w:val="000000"/>
                <w:sz w:val="20"/>
                <w:szCs w:val="20"/>
                <w:lang w:val="fi-FI"/>
              </w:rPr>
              <w:t>,</w:t>
            </w:r>
            <w:r w:rsidRPr="00747871">
              <w:rPr>
                <w:rFonts w:cs="Arial"/>
                <w:b/>
                <w:bCs/>
                <w:color w:val="000000"/>
                <w:sz w:val="20"/>
                <w:szCs w:val="20"/>
                <w:lang w:val="fi-FI"/>
              </w:rPr>
              <w:t>154</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29</w:t>
            </w:r>
          </w:p>
        </w:tc>
        <w:tc>
          <w:tcPr>
            <w:tcW w:w="1484" w:type="dxa"/>
            <w:vAlign w:val="bottom"/>
          </w:tcPr>
          <w:p w:rsidR="00CF3D7D" w:rsidRPr="00747871" w:rsidRDefault="00CF3D7D" w:rsidP="00CF3D7D">
            <w:pPr>
              <w:jc w:val="right"/>
              <w:rPr>
                <w:rFonts w:cs="Arial"/>
                <w:b/>
                <w:bCs/>
                <w:color w:val="000000"/>
                <w:sz w:val="20"/>
                <w:szCs w:val="20"/>
                <w:lang w:val="fi-FI"/>
              </w:rPr>
            </w:pPr>
            <w:r w:rsidRPr="00747871">
              <w:rPr>
                <w:rFonts w:cs="Arial"/>
                <w:b/>
                <w:bCs/>
                <w:color w:val="000000"/>
                <w:sz w:val="20"/>
                <w:szCs w:val="20"/>
                <w:lang w:val="fi-FI"/>
              </w:rPr>
              <w:t>10</w:t>
            </w:r>
            <w:r w:rsidR="008C4D25">
              <w:rPr>
                <w:rFonts w:cs="Arial"/>
                <w:b/>
                <w:bCs/>
                <w:color w:val="000000"/>
                <w:sz w:val="20"/>
                <w:szCs w:val="20"/>
                <w:lang w:val="fi-FI"/>
              </w:rPr>
              <w:t>,</w:t>
            </w:r>
            <w:r w:rsidRPr="00747871">
              <w:rPr>
                <w:rFonts w:cs="Arial"/>
                <w:b/>
                <w:bCs/>
                <w:color w:val="000000"/>
                <w:sz w:val="20"/>
                <w:szCs w:val="20"/>
                <w:lang w:val="fi-FI"/>
              </w:rPr>
              <w:t>829</w:t>
            </w:r>
          </w:p>
        </w:tc>
      </w:tr>
      <w:tr w:rsidR="00CF3D7D" w:rsidRPr="003E3697" w:rsidTr="00CF3D7D">
        <w:trPr>
          <w:trHeight w:val="378"/>
        </w:trPr>
        <w:tc>
          <w:tcPr>
            <w:tcW w:w="4123" w:type="dxa"/>
            <w:noWrap/>
          </w:tcPr>
          <w:p w:rsidR="00CF3D7D" w:rsidRPr="003E3697" w:rsidRDefault="00CF3D7D" w:rsidP="00F923C3">
            <w:pPr>
              <w:rPr>
                <w:rFonts w:cs="Arial"/>
                <w:sz w:val="20"/>
                <w:lang w:eastAsia="fi-FI"/>
              </w:rPr>
            </w:pPr>
            <w:r w:rsidRPr="003E3697">
              <w:rPr>
                <w:rFonts w:cs="Arial"/>
                <w:sz w:val="20"/>
                <w:lang w:eastAsia="fi-FI"/>
              </w:rPr>
              <w:t>Non-current assets held-for-sale</w:t>
            </w:r>
          </w:p>
        </w:tc>
        <w:tc>
          <w:tcPr>
            <w:tcW w:w="1483" w:type="dxa"/>
            <w:noWrap/>
          </w:tcPr>
          <w:p w:rsidR="00CF3D7D" w:rsidRPr="003E3697" w:rsidRDefault="00CF3D7D" w:rsidP="008951BF">
            <w:pPr>
              <w:ind w:left="426"/>
              <w:jc w:val="right"/>
              <w:rPr>
                <w:rFonts w:cs="Arial"/>
                <w:bCs/>
                <w:sz w:val="20"/>
              </w:rPr>
            </w:pPr>
            <w:r w:rsidRPr="003E3697">
              <w:rPr>
                <w:rFonts w:cs="Arial"/>
                <w:bCs/>
                <w:sz w:val="20"/>
              </w:rPr>
              <w:t>0</w:t>
            </w:r>
          </w:p>
        </w:tc>
        <w:tc>
          <w:tcPr>
            <w:tcW w:w="1484" w:type="dxa"/>
          </w:tcPr>
          <w:p w:rsidR="00CF3D7D" w:rsidRPr="003E3697" w:rsidRDefault="00CF3D7D" w:rsidP="008951BF">
            <w:pPr>
              <w:ind w:left="426"/>
              <w:jc w:val="right"/>
              <w:rPr>
                <w:rFonts w:cs="Arial"/>
                <w:sz w:val="20"/>
                <w:lang w:val="fi-FI" w:eastAsia="fi-FI"/>
              </w:rPr>
            </w:pPr>
            <w:r>
              <w:rPr>
                <w:rFonts w:cs="Arial"/>
                <w:sz w:val="20"/>
                <w:lang w:val="fi-FI" w:eastAsia="fi-FI"/>
              </w:rPr>
              <w:t>0</w:t>
            </w: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bCs/>
                <w:sz w:val="20"/>
              </w:rPr>
            </w:pPr>
            <w:r w:rsidRPr="003E3697">
              <w:rPr>
                <w:rFonts w:cs="Arial"/>
                <w:bCs/>
                <w:sz w:val="20"/>
              </w:rPr>
              <w:t>0</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b/>
                <w:sz w:val="20"/>
                <w:lang w:eastAsia="fi-FI"/>
              </w:rPr>
              <w:t>TOTAL ASSETS</w:t>
            </w:r>
          </w:p>
        </w:tc>
        <w:tc>
          <w:tcPr>
            <w:tcW w:w="1483" w:type="dxa"/>
            <w:noWrap/>
            <w:vAlign w:val="bottom"/>
          </w:tcPr>
          <w:p w:rsidR="00CF3D7D" w:rsidRPr="00747871" w:rsidRDefault="00CF3D7D" w:rsidP="00CF3D7D">
            <w:pPr>
              <w:jc w:val="right"/>
              <w:rPr>
                <w:rFonts w:cs="Arial"/>
                <w:b/>
                <w:bCs/>
                <w:color w:val="000000"/>
                <w:sz w:val="20"/>
                <w:szCs w:val="20"/>
                <w:lang w:val="fi-FI"/>
              </w:rPr>
            </w:pPr>
            <w:r w:rsidRPr="00747871">
              <w:rPr>
                <w:rFonts w:cs="Arial"/>
                <w:b/>
                <w:bCs/>
                <w:color w:val="000000"/>
                <w:sz w:val="20"/>
                <w:szCs w:val="20"/>
                <w:lang w:val="fi-FI"/>
              </w:rPr>
              <w:t>17</w:t>
            </w:r>
            <w:r w:rsidR="008C4D25">
              <w:rPr>
                <w:rFonts w:cs="Arial"/>
                <w:b/>
                <w:bCs/>
                <w:color w:val="000000"/>
                <w:sz w:val="20"/>
                <w:szCs w:val="20"/>
                <w:lang w:val="fi-FI"/>
              </w:rPr>
              <w:t>,</w:t>
            </w:r>
            <w:r w:rsidRPr="00747871">
              <w:rPr>
                <w:rFonts w:cs="Arial"/>
                <w:b/>
                <w:bCs/>
                <w:color w:val="000000"/>
                <w:sz w:val="20"/>
                <w:szCs w:val="20"/>
                <w:lang w:val="fi-FI"/>
              </w:rPr>
              <w:t>599</w:t>
            </w:r>
          </w:p>
        </w:tc>
        <w:tc>
          <w:tcPr>
            <w:tcW w:w="1484" w:type="dxa"/>
            <w:vAlign w:val="bottom"/>
          </w:tcPr>
          <w:p w:rsidR="00CF3D7D" w:rsidRPr="00747871" w:rsidRDefault="00CF3D7D" w:rsidP="00CF3D7D">
            <w:pPr>
              <w:jc w:val="right"/>
              <w:rPr>
                <w:rFonts w:cs="Arial"/>
                <w:b/>
                <w:bCs/>
                <w:color w:val="000000"/>
                <w:sz w:val="20"/>
                <w:szCs w:val="20"/>
                <w:lang w:val="fi-FI"/>
              </w:rPr>
            </w:pPr>
            <w:r w:rsidRPr="00747871">
              <w:rPr>
                <w:rFonts w:cs="Arial"/>
                <w:b/>
                <w:bCs/>
                <w:color w:val="000000"/>
                <w:sz w:val="20"/>
                <w:szCs w:val="20"/>
                <w:lang w:val="fi-FI"/>
              </w:rPr>
              <w:t>13</w:t>
            </w:r>
            <w:r w:rsidR="008C4D25">
              <w:rPr>
                <w:rFonts w:cs="Arial"/>
                <w:b/>
                <w:bCs/>
                <w:color w:val="000000"/>
                <w:sz w:val="20"/>
                <w:szCs w:val="20"/>
                <w:lang w:val="fi-FI"/>
              </w:rPr>
              <w:t>,</w:t>
            </w:r>
            <w:r w:rsidRPr="00747871">
              <w:rPr>
                <w:rFonts w:cs="Arial"/>
                <w:b/>
                <w:bCs/>
                <w:color w:val="000000"/>
                <w:sz w:val="20"/>
                <w:szCs w:val="20"/>
                <w:lang w:val="fi-FI"/>
              </w:rPr>
              <w:t>836</w:t>
            </w:r>
          </w:p>
        </w:tc>
        <w:tc>
          <w:tcPr>
            <w:tcW w:w="1484" w:type="dxa"/>
            <w:vAlign w:val="bottom"/>
          </w:tcPr>
          <w:p w:rsidR="00CF3D7D" w:rsidRPr="00747871" w:rsidRDefault="00CF3D7D" w:rsidP="00CF3D7D">
            <w:pPr>
              <w:jc w:val="right"/>
              <w:rPr>
                <w:rFonts w:cs="Arial"/>
                <w:color w:val="000000"/>
                <w:sz w:val="20"/>
                <w:szCs w:val="20"/>
                <w:lang w:val="fi-FI"/>
              </w:rPr>
            </w:pPr>
            <w:r w:rsidRPr="00747871">
              <w:rPr>
                <w:rFonts w:cs="Arial"/>
                <w:color w:val="000000"/>
                <w:sz w:val="20"/>
                <w:szCs w:val="20"/>
                <w:lang w:val="fi-FI"/>
              </w:rPr>
              <w:t>27</w:t>
            </w:r>
          </w:p>
        </w:tc>
        <w:tc>
          <w:tcPr>
            <w:tcW w:w="1484" w:type="dxa"/>
            <w:vAlign w:val="bottom"/>
          </w:tcPr>
          <w:p w:rsidR="00CF3D7D" w:rsidRPr="00747871" w:rsidRDefault="00CF3D7D" w:rsidP="00CF3D7D">
            <w:pPr>
              <w:jc w:val="right"/>
              <w:rPr>
                <w:rFonts w:cs="Arial"/>
                <w:b/>
                <w:bCs/>
                <w:color w:val="000000"/>
                <w:sz w:val="20"/>
                <w:szCs w:val="20"/>
                <w:lang w:val="fi-FI"/>
              </w:rPr>
            </w:pPr>
            <w:r w:rsidRPr="00747871">
              <w:rPr>
                <w:rFonts w:cs="Arial"/>
                <w:b/>
                <w:bCs/>
                <w:color w:val="000000"/>
                <w:sz w:val="20"/>
                <w:szCs w:val="20"/>
                <w:lang w:val="fi-FI"/>
              </w:rPr>
              <w:t>14</w:t>
            </w:r>
            <w:r w:rsidR="008C4D25">
              <w:rPr>
                <w:rFonts w:cs="Arial"/>
                <w:b/>
                <w:bCs/>
                <w:color w:val="000000"/>
                <w:sz w:val="20"/>
                <w:szCs w:val="20"/>
                <w:lang w:val="fi-FI"/>
              </w:rPr>
              <w:t>,</w:t>
            </w:r>
            <w:r w:rsidRPr="00747871">
              <w:rPr>
                <w:rFonts w:cs="Arial"/>
                <w:b/>
                <w:bCs/>
                <w:color w:val="000000"/>
                <w:sz w:val="20"/>
                <w:szCs w:val="20"/>
                <w:lang w:val="fi-FI"/>
              </w:rPr>
              <w:t>394</w:t>
            </w:r>
          </w:p>
        </w:tc>
      </w:tr>
      <w:tr w:rsidR="00CF3D7D" w:rsidRPr="003E3697" w:rsidTr="00CF3D7D">
        <w:trPr>
          <w:trHeight w:val="225"/>
        </w:trPr>
        <w:tc>
          <w:tcPr>
            <w:tcW w:w="4123" w:type="dxa"/>
            <w:noWrap/>
          </w:tcPr>
          <w:p w:rsidR="00CF3D7D" w:rsidRPr="003E3697" w:rsidRDefault="00CF3D7D" w:rsidP="00F923C3">
            <w:pPr>
              <w:rPr>
                <w:rFonts w:cs="Arial"/>
                <w:b/>
                <w:sz w:val="20"/>
                <w:lang w:eastAsia="fi-FI"/>
              </w:rPr>
            </w:pPr>
          </w:p>
        </w:tc>
        <w:tc>
          <w:tcPr>
            <w:tcW w:w="1483" w:type="dxa"/>
            <w:noWrap/>
          </w:tcPr>
          <w:p w:rsidR="00CF3D7D" w:rsidRPr="003E3697" w:rsidRDefault="00CF3D7D" w:rsidP="00F923C3">
            <w:pPr>
              <w:jc w:val="right"/>
              <w:rPr>
                <w:rFonts w:cs="Arial"/>
                <w:sz w:val="20"/>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p>
        </w:tc>
        <w:tc>
          <w:tcPr>
            <w:tcW w:w="1483" w:type="dxa"/>
            <w:noWrap/>
          </w:tcPr>
          <w:p w:rsidR="00CF3D7D" w:rsidRPr="003E3697" w:rsidRDefault="00CF3D7D" w:rsidP="00F923C3">
            <w:pPr>
              <w:jc w:val="right"/>
              <w:rPr>
                <w:rFonts w:cs="Arial"/>
                <w:b/>
                <w:bCs/>
                <w:sz w:val="20"/>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r>
      <w:tr w:rsidR="00CF3D7D" w:rsidRPr="003E3697" w:rsidTr="00CF3D7D">
        <w:trPr>
          <w:trHeight w:val="225"/>
        </w:trPr>
        <w:tc>
          <w:tcPr>
            <w:tcW w:w="4123" w:type="dxa"/>
            <w:noWrap/>
          </w:tcPr>
          <w:p w:rsidR="00CF3D7D" w:rsidRPr="003E3697" w:rsidRDefault="00CF3D7D" w:rsidP="00F923C3">
            <w:pPr>
              <w:rPr>
                <w:rFonts w:cs="Arial"/>
                <w:b/>
                <w:sz w:val="20"/>
                <w:lang w:eastAsia="fi-FI"/>
              </w:rPr>
            </w:pPr>
            <w:r w:rsidRPr="003E3697">
              <w:rPr>
                <w:rFonts w:cs="Arial"/>
                <w:b/>
                <w:sz w:val="20"/>
                <w:lang w:eastAsia="fi-FI"/>
              </w:rPr>
              <w:t>EQUITY ATTRIBUTABLE TO EQUITY HOLDERS OF THE PARENT COMPANY</w:t>
            </w:r>
          </w:p>
        </w:tc>
        <w:tc>
          <w:tcPr>
            <w:tcW w:w="1483" w:type="dxa"/>
            <w:noWrap/>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p>
        </w:tc>
        <w:tc>
          <w:tcPr>
            <w:tcW w:w="1483" w:type="dxa"/>
            <w:noWrap/>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sz w:val="20"/>
                <w:lang w:eastAsia="fi-FI"/>
              </w:rPr>
              <w:t>Share capital</w:t>
            </w:r>
          </w:p>
        </w:tc>
        <w:tc>
          <w:tcPr>
            <w:tcW w:w="1483" w:type="dxa"/>
            <w:noWrap/>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20</w:t>
            </w:r>
            <w:r w:rsidR="008C4D25">
              <w:rPr>
                <w:rFonts w:cs="Arial"/>
                <w:color w:val="000000"/>
                <w:sz w:val="20"/>
                <w:szCs w:val="20"/>
                <w:lang w:val="fi-FI"/>
              </w:rPr>
              <w:t>,</w:t>
            </w:r>
            <w:r w:rsidRPr="00747871">
              <w:rPr>
                <w:rFonts w:cs="Arial"/>
                <w:color w:val="000000"/>
                <w:sz w:val="20"/>
                <w:szCs w:val="20"/>
                <w:lang w:val="fi-FI"/>
              </w:rPr>
              <w:t>487</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20</w:t>
            </w:r>
            <w:r w:rsidR="008C4D25">
              <w:rPr>
                <w:rFonts w:cs="Arial"/>
                <w:color w:val="000000"/>
                <w:sz w:val="20"/>
                <w:szCs w:val="20"/>
                <w:lang w:val="fi-FI"/>
              </w:rPr>
              <w:t>,</w:t>
            </w:r>
            <w:r w:rsidRPr="00747871">
              <w:rPr>
                <w:rFonts w:cs="Arial"/>
                <w:color w:val="000000"/>
                <w:sz w:val="20"/>
                <w:szCs w:val="20"/>
                <w:lang w:val="fi-FI"/>
              </w:rPr>
              <w:t>487</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0</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20</w:t>
            </w:r>
            <w:r w:rsidR="008C4D25">
              <w:rPr>
                <w:rFonts w:cs="Arial"/>
                <w:color w:val="000000"/>
                <w:sz w:val="20"/>
                <w:szCs w:val="20"/>
                <w:lang w:val="fi-FI"/>
              </w:rPr>
              <w:t>,</w:t>
            </w:r>
            <w:r w:rsidRPr="00747871">
              <w:rPr>
                <w:rFonts w:cs="Arial"/>
                <w:color w:val="000000"/>
                <w:sz w:val="20"/>
                <w:szCs w:val="20"/>
                <w:lang w:val="fi-FI"/>
              </w:rPr>
              <w:t>487</w:t>
            </w: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sz w:val="20"/>
                <w:lang w:eastAsia="fi-FI"/>
              </w:rPr>
              <w:t>Share premium account</w:t>
            </w:r>
          </w:p>
        </w:tc>
        <w:tc>
          <w:tcPr>
            <w:tcW w:w="1483" w:type="dxa"/>
            <w:noWrap/>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44</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44</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0</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44</w:t>
            </w: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sz w:val="20"/>
                <w:lang w:eastAsia="fi-FI"/>
              </w:rPr>
              <w:t>Reserve for invested unrestricted equity</w:t>
            </w:r>
          </w:p>
        </w:tc>
        <w:tc>
          <w:tcPr>
            <w:tcW w:w="1483" w:type="dxa"/>
            <w:noWrap/>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19</w:t>
            </w:r>
            <w:r w:rsidR="008C4D25">
              <w:rPr>
                <w:rFonts w:cs="Arial"/>
                <w:color w:val="000000"/>
                <w:sz w:val="20"/>
                <w:szCs w:val="20"/>
                <w:lang w:val="fi-FI"/>
              </w:rPr>
              <w:t>,</w:t>
            </w:r>
            <w:r w:rsidRPr="00747871">
              <w:rPr>
                <w:rFonts w:cs="Arial"/>
                <w:color w:val="000000"/>
                <w:sz w:val="20"/>
                <w:szCs w:val="20"/>
                <w:lang w:val="fi-FI"/>
              </w:rPr>
              <w:t>464</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17</w:t>
            </w:r>
            <w:r w:rsidR="008C4D25">
              <w:rPr>
                <w:rFonts w:cs="Arial"/>
                <w:color w:val="000000"/>
                <w:sz w:val="20"/>
                <w:szCs w:val="20"/>
                <w:lang w:val="fi-FI"/>
              </w:rPr>
              <w:t>,</w:t>
            </w:r>
            <w:r w:rsidRPr="00747871">
              <w:rPr>
                <w:rFonts w:cs="Arial"/>
                <w:color w:val="000000"/>
                <w:sz w:val="20"/>
                <w:szCs w:val="20"/>
                <w:lang w:val="fi-FI"/>
              </w:rPr>
              <w:t>471</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11</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17</w:t>
            </w:r>
            <w:r w:rsidR="008C4D25">
              <w:rPr>
                <w:rFonts w:cs="Arial"/>
                <w:color w:val="000000"/>
                <w:sz w:val="20"/>
                <w:szCs w:val="20"/>
                <w:lang w:val="fi-FI"/>
              </w:rPr>
              <w:t>,</w:t>
            </w:r>
            <w:r w:rsidRPr="00747871">
              <w:rPr>
                <w:rFonts w:cs="Arial"/>
                <w:color w:val="000000"/>
                <w:sz w:val="20"/>
                <w:szCs w:val="20"/>
                <w:lang w:val="fi-FI"/>
              </w:rPr>
              <w:t>471</w:t>
            </w: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sz w:val="20"/>
                <w:lang w:eastAsia="fi-FI"/>
              </w:rPr>
              <w:t>Exchange differences</w:t>
            </w:r>
          </w:p>
        </w:tc>
        <w:tc>
          <w:tcPr>
            <w:tcW w:w="1483" w:type="dxa"/>
            <w:noWrap/>
            <w:vAlign w:val="bottom"/>
          </w:tcPr>
          <w:p w:rsidR="00C8450C" w:rsidRPr="00747871" w:rsidRDefault="00C8450C" w:rsidP="00237177">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429</w:t>
            </w:r>
          </w:p>
        </w:tc>
        <w:tc>
          <w:tcPr>
            <w:tcW w:w="1484" w:type="dxa"/>
            <w:vAlign w:val="bottom"/>
          </w:tcPr>
          <w:p w:rsidR="00C8450C" w:rsidRPr="00747871" w:rsidRDefault="00C8450C" w:rsidP="00237177">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1</w:t>
            </w:r>
            <w:r w:rsidR="008C4D25">
              <w:rPr>
                <w:rFonts w:cs="Arial"/>
                <w:color w:val="000000"/>
                <w:sz w:val="20"/>
                <w:szCs w:val="20"/>
                <w:lang w:val="fi-FI"/>
              </w:rPr>
              <w:t>,</w:t>
            </w:r>
            <w:r w:rsidRPr="00747871">
              <w:rPr>
                <w:rFonts w:cs="Arial"/>
                <w:color w:val="000000"/>
                <w:sz w:val="20"/>
                <w:szCs w:val="20"/>
                <w:lang w:val="fi-FI"/>
              </w:rPr>
              <w:t>136</w:t>
            </w:r>
          </w:p>
        </w:tc>
        <w:tc>
          <w:tcPr>
            <w:tcW w:w="1484" w:type="dxa"/>
            <w:vAlign w:val="bottom"/>
          </w:tcPr>
          <w:p w:rsidR="00C8450C" w:rsidRPr="00747871" w:rsidRDefault="00C8450C" w:rsidP="00237177">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62</w:t>
            </w:r>
          </w:p>
        </w:tc>
        <w:tc>
          <w:tcPr>
            <w:tcW w:w="1484" w:type="dxa"/>
            <w:vAlign w:val="bottom"/>
          </w:tcPr>
          <w:p w:rsidR="00C8450C" w:rsidRPr="00747871" w:rsidRDefault="00C8450C" w:rsidP="00237177">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888</w:t>
            </w: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sz w:val="20"/>
                <w:lang w:eastAsia="fi-FI"/>
              </w:rPr>
              <w:t>Retained earnings</w:t>
            </w:r>
          </w:p>
        </w:tc>
        <w:tc>
          <w:tcPr>
            <w:tcW w:w="1483" w:type="dxa"/>
            <w:noWrap/>
            <w:vAlign w:val="bottom"/>
          </w:tcPr>
          <w:p w:rsidR="00C8450C" w:rsidRPr="00747871" w:rsidRDefault="00C8450C" w:rsidP="00237177">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34</w:t>
            </w:r>
            <w:r w:rsidR="008C4D25">
              <w:rPr>
                <w:rFonts w:cs="Arial"/>
                <w:color w:val="000000"/>
                <w:sz w:val="20"/>
                <w:szCs w:val="20"/>
                <w:lang w:val="fi-FI"/>
              </w:rPr>
              <w:t>,</w:t>
            </w:r>
            <w:r w:rsidRPr="00747871">
              <w:rPr>
                <w:rFonts w:cs="Arial"/>
                <w:color w:val="000000"/>
                <w:sz w:val="20"/>
                <w:szCs w:val="20"/>
                <w:lang w:val="fi-FI"/>
              </w:rPr>
              <w:t>933</w:t>
            </w:r>
          </w:p>
        </w:tc>
        <w:tc>
          <w:tcPr>
            <w:tcW w:w="1484" w:type="dxa"/>
            <w:vAlign w:val="bottom"/>
          </w:tcPr>
          <w:p w:rsidR="00C8450C" w:rsidRPr="00747871" w:rsidRDefault="00C8450C" w:rsidP="00237177">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36</w:t>
            </w:r>
            <w:r w:rsidR="008C4D25">
              <w:rPr>
                <w:rFonts w:cs="Arial"/>
                <w:color w:val="000000"/>
                <w:sz w:val="20"/>
                <w:szCs w:val="20"/>
                <w:lang w:val="fi-FI"/>
              </w:rPr>
              <w:t>,</w:t>
            </w:r>
            <w:r w:rsidRPr="00747871">
              <w:rPr>
                <w:rFonts w:cs="Arial"/>
                <w:color w:val="000000"/>
                <w:sz w:val="20"/>
                <w:szCs w:val="20"/>
                <w:lang w:val="fi-FI"/>
              </w:rPr>
              <w:t>783</w:t>
            </w:r>
          </w:p>
        </w:tc>
        <w:tc>
          <w:tcPr>
            <w:tcW w:w="1484" w:type="dxa"/>
            <w:vAlign w:val="bottom"/>
          </w:tcPr>
          <w:p w:rsidR="00C8450C" w:rsidRPr="00747871" w:rsidRDefault="00C8450C" w:rsidP="00237177">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5</w:t>
            </w:r>
          </w:p>
        </w:tc>
        <w:tc>
          <w:tcPr>
            <w:tcW w:w="1484" w:type="dxa"/>
            <w:vAlign w:val="bottom"/>
          </w:tcPr>
          <w:p w:rsidR="00C8450C" w:rsidRPr="00747871" w:rsidRDefault="00C8450C" w:rsidP="00237177">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35</w:t>
            </w:r>
            <w:r w:rsidR="008C4D25">
              <w:rPr>
                <w:rFonts w:cs="Arial"/>
                <w:color w:val="000000"/>
                <w:sz w:val="20"/>
                <w:szCs w:val="20"/>
                <w:lang w:val="fi-FI"/>
              </w:rPr>
              <w:t>,</w:t>
            </w:r>
            <w:r w:rsidRPr="00747871">
              <w:rPr>
                <w:rFonts w:cs="Arial"/>
                <w:color w:val="000000"/>
                <w:sz w:val="20"/>
                <w:szCs w:val="20"/>
                <w:lang w:val="fi-FI"/>
              </w:rPr>
              <w:t>687</w:t>
            </w: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b/>
                <w:sz w:val="20"/>
                <w:lang w:eastAsia="fi-FI"/>
              </w:rPr>
              <w:t>TOTAL EQUITY</w:t>
            </w:r>
          </w:p>
        </w:tc>
        <w:tc>
          <w:tcPr>
            <w:tcW w:w="1483" w:type="dxa"/>
            <w:noWrap/>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4</w:t>
            </w:r>
            <w:r w:rsidR="008C4D25">
              <w:rPr>
                <w:rFonts w:cs="Arial"/>
                <w:b/>
                <w:bCs/>
                <w:color w:val="000000"/>
                <w:sz w:val="20"/>
                <w:szCs w:val="20"/>
                <w:lang w:val="fi-FI"/>
              </w:rPr>
              <w:t>,</w:t>
            </w:r>
            <w:r w:rsidRPr="00747871">
              <w:rPr>
                <w:rFonts w:cs="Arial"/>
                <w:b/>
                <w:bCs/>
                <w:color w:val="000000"/>
                <w:sz w:val="20"/>
                <w:szCs w:val="20"/>
                <w:lang w:val="fi-FI"/>
              </w:rPr>
              <w:t>633</w:t>
            </w:r>
          </w:p>
        </w:tc>
        <w:tc>
          <w:tcPr>
            <w:tcW w:w="1484" w:type="dxa"/>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83</w:t>
            </w:r>
          </w:p>
        </w:tc>
        <w:tc>
          <w:tcPr>
            <w:tcW w:w="1484" w:type="dxa"/>
            <w:vAlign w:val="bottom"/>
          </w:tcPr>
          <w:p w:rsidR="00C8450C" w:rsidRPr="00747871" w:rsidRDefault="00C8450C" w:rsidP="00237177">
            <w:pPr>
              <w:jc w:val="right"/>
              <w:rPr>
                <w:rFonts w:cs="Arial"/>
                <w:color w:val="000000"/>
                <w:sz w:val="20"/>
                <w:szCs w:val="20"/>
                <w:lang w:val="fi-FI"/>
              </w:rPr>
            </w:pPr>
            <w:r w:rsidRPr="002970AD">
              <w:rPr>
                <w:rFonts w:cs="Arial"/>
                <w:color w:val="000000"/>
                <w:sz w:val="20"/>
                <w:szCs w:val="20"/>
                <w:lang w:val="fi-FI"/>
              </w:rPr>
              <w:t>5</w:t>
            </w:r>
            <w:r w:rsidR="008C4D25">
              <w:rPr>
                <w:rFonts w:cs="Arial"/>
                <w:color w:val="000000"/>
                <w:sz w:val="20"/>
                <w:szCs w:val="20"/>
                <w:lang w:val="fi-FI"/>
              </w:rPr>
              <w:t>,</w:t>
            </w:r>
            <w:r w:rsidRPr="002970AD">
              <w:rPr>
                <w:rFonts w:cs="Arial"/>
                <w:color w:val="000000"/>
                <w:sz w:val="20"/>
                <w:szCs w:val="20"/>
                <w:lang w:val="fi-FI"/>
              </w:rPr>
              <w:t>509</w:t>
            </w:r>
          </w:p>
        </w:tc>
        <w:tc>
          <w:tcPr>
            <w:tcW w:w="1484" w:type="dxa"/>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1</w:t>
            </w:r>
            <w:r w:rsidR="008C4D25">
              <w:rPr>
                <w:rFonts w:cs="Arial"/>
                <w:b/>
                <w:bCs/>
                <w:color w:val="000000"/>
                <w:sz w:val="20"/>
                <w:szCs w:val="20"/>
                <w:lang w:val="fi-FI"/>
              </w:rPr>
              <w:t>,</w:t>
            </w:r>
            <w:r w:rsidRPr="00747871">
              <w:rPr>
                <w:rFonts w:cs="Arial"/>
                <w:b/>
                <w:bCs/>
                <w:color w:val="000000"/>
                <w:sz w:val="20"/>
                <w:szCs w:val="20"/>
                <w:lang w:val="fi-FI"/>
              </w:rPr>
              <w:t>427</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p>
        </w:tc>
        <w:tc>
          <w:tcPr>
            <w:tcW w:w="1483" w:type="dxa"/>
            <w:noWrap/>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NON-CURRENT LIABILITIES</w:t>
            </w:r>
          </w:p>
        </w:tc>
        <w:tc>
          <w:tcPr>
            <w:tcW w:w="1483" w:type="dxa"/>
            <w:noWrap/>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sz w:val="20"/>
                <w:lang w:eastAsia="fi-FI"/>
              </w:rPr>
              <w:t>Deferred tax liabilities</w:t>
            </w:r>
          </w:p>
        </w:tc>
        <w:tc>
          <w:tcPr>
            <w:tcW w:w="1483" w:type="dxa"/>
            <w:noWrap/>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0</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0</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0</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0</w:t>
            </w: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sz w:val="20"/>
                <w:lang w:eastAsia="fi-FI"/>
              </w:rPr>
              <w:t>Interest-bearing loans and borrowings</w:t>
            </w:r>
          </w:p>
        </w:tc>
        <w:tc>
          <w:tcPr>
            <w:tcW w:w="1483" w:type="dxa"/>
            <w:noWrap/>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282</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2</w:t>
            </w:r>
            <w:r w:rsidR="008C4D25">
              <w:rPr>
                <w:rFonts w:cs="Arial"/>
                <w:color w:val="000000"/>
                <w:sz w:val="20"/>
                <w:szCs w:val="20"/>
                <w:lang w:val="fi-FI"/>
              </w:rPr>
              <w:t>,</w:t>
            </w:r>
            <w:r w:rsidRPr="00747871">
              <w:rPr>
                <w:rFonts w:cs="Arial"/>
                <w:color w:val="000000"/>
                <w:sz w:val="20"/>
                <w:szCs w:val="20"/>
                <w:lang w:val="fi-FI"/>
              </w:rPr>
              <w:t>058</w:t>
            </w:r>
          </w:p>
        </w:tc>
        <w:tc>
          <w:tcPr>
            <w:tcW w:w="1484" w:type="dxa"/>
            <w:vAlign w:val="bottom"/>
          </w:tcPr>
          <w:p w:rsidR="00C8450C" w:rsidRPr="00747871" w:rsidRDefault="00C8450C" w:rsidP="00237177">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86</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256</w:t>
            </w: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b/>
                <w:sz w:val="20"/>
                <w:lang w:eastAsia="fi-FI"/>
              </w:rPr>
              <w:t>NON-CURRENT LIABILITIES</w:t>
            </w:r>
          </w:p>
        </w:tc>
        <w:tc>
          <w:tcPr>
            <w:tcW w:w="1483" w:type="dxa"/>
            <w:noWrap/>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282</w:t>
            </w:r>
          </w:p>
        </w:tc>
        <w:tc>
          <w:tcPr>
            <w:tcW w:w="1484" w:type="dxa"/>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2</w:t>
            </w:r>
            <w:r w:rsidR="008C4D25">
              <w:rPr>
                <w:rFonts w:cs="Arial"/>
                <w:b/>
                <w:bCs/>
                <w:color w:val="000000"/>
                <w:sz w:val="20"/>
                <w:szCs w:val="20"/>
                <w:lang w:val="fi-FI"/>
              </w:rPr>
              <w:t>,</w:t>
            </w:r>
            <w:r w:rsidRPr="00747871">
              <w:rPr>
                <w:rFonts w:cs="Arial"/>
                <w:b/>
                <w:bCs/>
                <w:color w:val="000000"/>
                <w:sz w:val="20"/>
                <w:szCs w:val="20"/>
                <w:lang w:val="fi-FI"/>
              </w:rPr>
              <w:t>058</w:t>
            </w:r>
          </w:p>
        </w:tc>
        <w:tc>
          <w:tcPr>
            <w:tcW w:w="1484" w:type="dxa"/>
            <w:vAlign w:val="bottom"/>
          </w:tcPr>
          <w:p w:rsidR="00C8450C" w:rsidRPr="00747871" w:rsidRDefault="00C8450C" w:rsidP="00237177">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86</w:t>
            </w:r>
          </w:p>
        </w:tc>
        <w:tc>
          <w:tcPr>
            <w:tcW w:w="1484" w:type="dxa"/>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256</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p>
        </w:tc>
        <w:tc>
          <w:tcPr>
            <w:tcW w:w="1483" w:type="dxa"/>
            <w:noWrap/>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CURRENT LIABILITIES</w:t>
            </w:r>
          </w:p>
        </w:tc>
        <w:tc>
          <w:tcPr>
            <w:tcW w:w="1483" w:type="dxa"/>
            <w:noWrap/>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sz w:val="20"/>
                <w:lang w:eastAsia="fi-FI"/>
              </w:rPr>
              <w:t>Trade and other payables</w:t>
            </w:r>
          </w:p>
        </w:tc>
        <w:tc>
          <w:tcPr>
            <w:tcW w:w="1483" w:type="dxa"/>
            <w:noWrap/>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5</w:t>
            </w:r>
            <w:r w:rsidR="008C4D25">
              <w:rPr>
                <w:rFonts w:cs="Arial"/>
                <w:color w:val="000000"/>
                <w:sz w:val="20"/>
                <w:szCs w:val="20"/>
                <w:lang w:val="fi-FI"/>
              </w:rPr>
              <w:t>,</w:t>
            </w:r>
            <w:r w:rsidRPr="00747871">
              <w:rPr>
                <w:rFonts w:cs="Arial"/>
                <w:color w:val="000000"/>
                <w:sz w:val="20"/>
                <w:szCs w:val="20"/>
                <w:lang w:val="fi-FI"/>
              </w:rPr>
              <w:t>614</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4</w:t>
            </w:r>
            <w:r w:rsidR="008C4D25">
              <w:rPr>
                <w:rFonts w:cs="Arial"/>
                <w:color w:val="000000"/>
                <w:sz w:val="20"/>
                <w:szCs w:val="20"/>
                <w:lang w:val="fi-FI"/>
              </w:rPr>
              <w:t>,</w:t>
            </w:r>
            <w:r w:rsidRPr="00747871">
              <w:rPr>
                <w:rFonts w:cs="Arial"/>
                <w:color w:val="000000"/>
                <w:sz w:val="20"/>
                <w:szCs w:val="20"/>
                <w:lang w:val="fi-FI"/>
              </w:rPr>
              <w:t>585</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22</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3</w:t>
            </w:r>
            <w:r w:rsidR="008C4D25">
              <w:rPr>
                <w:rFonts w:cs="Arial"/>
                <w:color w:val="000000"/>
                <w:sz w:val="20"/>
                <w:szCs w:val="20"/>
                <w:lang w:val="fi-FI"/>
              </w:rPr>
              <w:t>,</w:t>
            </w:r>
            <w:r w:rsidRPr="00747871">
              <w:rPr>
                <w:rFonts w:cs="Arial"/>
                <w:color w:val="000000"/>
                <w:sz w:val="20"/>
                <w:szCs w:val="20"/>
                <w:lang w:val="fi-FI"/>
              </w:rPr>
              <w:t>617</w:t>
            </w: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sz w:val="20"/>
                <w:lang w:eastAsia="fi-FI"/>
              </w:rPr>
              <w:t>Current interest-bearing loans and borrowings</w:t>
            </w:r>
          </w:p>
        </w:tc>
        <w:tc>
          <w:tcPr>
            <w:tcW w:w="1483" w:type="dxa"/>
            <w:noWrap/>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7</w:t>
            </w:r>
            <w:r w:rsidR="008C4D25">
              <w:rPr>
                <w:rFonts w:cs="Arial"/>
                <w:color w:val="000000"/>
                <w:sz w:val="20"/>
                <w:szCs w:val="20"/>
                <w:lang w:val="fi-FI"/>
              </w:rPr>
              <w:t>,</w:t>
            </w:r>
            <w:r w:rsidRPr="00747871">
              <w:rPr>
                <w:rFonts w:cs="Arial"/>
                <w:color w:val="000000"/>
                <w:sz w:val="20"/>
                <w:szCs w:val="20"/>
                <w:lang w:val="fi-FI"/>
              </w:rPr>
              <w:t>070</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7</w:t>
            </w:r>
            <w:r w:rsidR="008C4D25">
              <w:rPr>
                <w:rFonts w:cs="Arial"/>
                <w:color w:val="000000"/>
                <w:sz w:val="20"/>
                <w:szCs w:val="20"/>
                <w:lang w:val="fi-FI"/>
              </w:rPr>
              <w:t>,</w:t>
            </w:r>
            <w:r w:rsidRPr="00747871">
              <w:rPr>
                <w:rFonts w:cs="Arial"/>
                <w:color w:val="000000"/>
                <w:sz w:val="20"/>
                <w:szCs w:val="20"/>
                <w:lang w:val="fi-FI"/>
              </w:rPr>
              <w:t>111</w:t>
            </w:r>
          </w:p>
        </w:tc>
        <w:tc>
          <w:tcPr>
            <w:tcW w:w="1484" w:type="dxa"/>
            <w:vAlign w:val="bottom"/>
          </w:tcPr>
          <w:p w:rsidR="00C8450C" w:rsidRPr="00747871" w:rsidRDefault="00C8450C" w:rsidP="00237177">
            <w:pPr>
              <w:jc w:val="right"/>
              <w:rPr>
                <w:rFonts w:cs="Arial"/>
                <w:color w:val="000000"/>
                <w:sz w:val="20"/>
                <w:szCs w:val="20"/>
                <w:lang w:val="fi-FI"/>
              </w:rPr>
            </w:pPr>
            <w:proofErr w:type="gramStart"/>
            <w:r w:rsidRPr="00747871">
              <w:rPr>
                <w:rFonts w:cs="Arial"/>
                <w:color w:val="000000"/>
                <w:sz w:val="20"/>
                <w:szCs w:val="20"/>
                <w:lang w:val="fi-FI"/>
              </w:rPr>
              <w:t>-</w:t>
            </w:r>
            <w:proofErr w:type="gramEnd"/>
            <w:r w:rsidRPr="00747871">
              <w:rPr>
                <w:rFonts w:cs="Arial"/>
                <w:color w:val="000000"/>
                <w:sz w:val="20"/>
                <w:szCs w:val="20"/>
                <w:lang w:val="fi-FI"/>
              </w:rPr>
              <w:t>1</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9</w:t>
            </w:r>
            <w:r w:rsidR="008C4D25">
              <w:rPr>
                <w:rFonts w:cs="Arial"/>
                <w:color w:val="000000"/>
                <w:sz w:val="20"/>
                <w:szCs w:val="20"/>
                <w:lang w:val="fi-FI"/>
              </w:rPr>
              <w:t>,</w:t>
            </w:r>
            <w:r w:rsidRPr="00747871">
              <w:rPr>
                <w:rFonts w:cs="Arial"/>
                <w:color w:val="000000"/>
                <w:sz w:val="20"/>
                <w:szCs w:val="20"/>
                <w:lang w:val="fi-FI"/>
              </w:rPr>
              <w:t>093</w:t>
            </w: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b/>
                <w:sz w:val="20"/>
                <w:lang w:eastAsia="fi-FI"/>
              </w:rPr>
              <w:t>CURRENT LIABILITIES</w:t>
            </w:r>
          </w:p>
        </w:tc>
        <w:tc>
          <w:tcPr>
            <w:tcW w:w="1483" w:type="dxa"/>
            <w:noWrap/>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12</w:t>
            </w:r>
            <w:r w:rsidR="008C4D25">
              <w:rPr>
                <w:rFonts w:cs="Arial"/>
                <w:b/>
                <w:bCs/>
                <w:color w:val="000000"/>
                <w:sz w:val="20"/>
                <w:szCs w:val="20"/>
                <w:lang w:val="fi-FI"/>
              </w:rPr>
              <w:t>,</w:t>
            </w:r>
            <w:r w:rsidRPr="00747871">
              <w:rPr>
                <w:rFonts w:cs="Arial"/>
                <w:b/>
                <w:bCs/>
                <w:color w:val="000000"/>
                <w:sz w:val="20"/>
                <w:szCs w:val="20"/>
                <w:lang w:val="fi-FI"/>
              </w:rPr>
              <w:t>684</w:t>
            </w:r>
          </w:p>
        </w:tc>
        <w:tc>
          <w:tcPr>
            <w:tcW w:w="1484" w:type="dxa"/>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11</w:t>
            </w:r>
            <w:r w:rsidR="008C4D25">
              <w:rPr>
                <w:rFonts w:cs="Arial"/>
                <w:b/>
                <w:bCs/>
                <w:color w:val="000000"/>
                <w:sz w:val="20"/>
                <w:szCs w:val="20"/>
                <w:lang w:val="fi-FI"/>
              </w:rPr>
              <w:t>,</w:t>
            </w:r>
            <w:r w:rsidRPr="00747871">
              <w:rPr>
                <w:rFonts w:cs="Arial"/>
                <w:b/>
                <w:bCs/>
                <w:color w:val="000000"/>
                <w:sz w:val="20"/>
                <w:szCs w:val="20"/>
                <w:lang w:val="fi-FI"/>
              </w:rPr>
              <w:t>695</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8</w:t>
            </w:r>
          </w:p>
        </w:tc>
        <w:tc>
          <w:tcPr>
            <w:tcW w:w="1484" w:type="dxa"/>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12</w:t>
            </w:r>
            <w:r w:rsidR="008C4D25">
              <w:rPr>
                <w:rFonts w:cs="Arial"/>
                <w:b/>
                <w:bCs/>
                <w:color w:val="000000"/>
                <w:sz w:val="20"/>
                <w:szCs w:val="20"/>
                <w:lang w:val="fi-FI"/>
              </w:rPr>
              <w:t>,</w:t>
            </w:r>
            <w:r w:rsidRPr="00747871">
              <w:rPr>
                <w:rFonts w:cs="Arial"/>
                <w:b/>
                <w:bCs/>
                <w:color w:val="000000"/>
                <w:sz w:val="20"/>
                <w:szCs w:val="20"/>
                <w:lang w:val="fi-FI"/>
              </w:rPr>
              <w:t>710</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p>
        </w:tc>
        <w:tc>
          <w:tcPr>
            <w:tcW w:w="1483" w:type="dxa"/>
            <w:noWrap/>
          </w:tcPr>
          <w:p w:rsidR="00CF3D7D" w:rsidRPr="003E3697" w:rsidRDefault="00CF3D7D" w:rsidP="008951BF">
            <w:pPr>
              <w:ind w:left="426"/>
              <w:jc w:val="right"/>
              <w:rPr>
                <w:rFonts w:cs="Arial"/>
                <w:b/>
                <w:bCs/>
                <w:sz w:val="20"/>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b/>
                <w:bCs/>
                <w:sz w:val="20"/>
              </w:rPr>
            </w:pP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r w:rsidRPr="003E3697">
              <w:rPr>
                <w:rFonts w:cs="Arial"/>
                <w:sz w:val="20"/>
                <w:lang w:eastAsia="fi-FI"/>
              </w:rPr>
              <w:t>Liabilities relating to non-current assets held-for-sale</w:t>
            </w:r>
          </w:p>
        </w:tc>
        <w:tc>
          <w:tcPr>
            <w:tcW w:w="1483" w:type="dxa"/>
            <w:noWrap/>
          </w:tcPr>
          <w:p w:rsidR="00CF3D7D" w:rsidRPr="003E3697" w:rsidRDefault="00CF3D7D" w:rsidP="008951BF">
            <w:pPr>
              <w:ind w:left="426"/>
              <w:jc w:val="right"/>
              <w:rPr>
                <w:rFonts w:cs="Arial"/>
                <w:bCs/>
                <w:sz w:val="20"/>
              </w:rPr>
            </w:pPr>
            <w:r w:rsidRPr="003E3697">
              <w:rPr>
                <w:rFonts w:cs="Arial"/>
                <w:bCs/>
                <w:sz w:val="20"/>
              </w:rPr>
              <w:t>0</w:t>
            </w:r>
          </w:p>
        </w:tc>
        <w:tc>
          <w:tcPr>
            <w:tcW w:w="1484" w:type="dxa"/>
          </w:tcPr>
          <w:p w:rsidR="00CF3D7D" w:rsidRPr="003E3697" w:rsidRDefault="00C8450C" w:rsidP="008951BF">
            <w:pPr>
              <w:ind w:left="426"/>
              <w:jc w:val="right"/>
              <w:rPr>
                <w:rFonts w:cs="Arial"/>
                <w:sz w:val="20"/>
                <w:lang w:val="fi-FI" w:eastAsia="fi-FI"/>
              </w:rPr>
            </w:pPr>
            <w:r>
              <w:rPr>
                <w:rFonts w:cs="Arial"/>
                <w:sz w:val="20"/>
                <w:lang w:val="fi-FI" w:eastAsia="fi-FI"/>
              </w:rPr>
              <w:t>0</w:t>
            </w:r>
          </w:p>
        </w:tc>
        <w:tc>
          <w:tcPr>
            <w:tcW w:w="1484" w:type="dxa"/>
          </w:tcPr>
          <w:p w:rsidR="00CF3D7D" w:rsidRPr="003E3697" w:rsidRDefault="00CF3D7D" w:rsidP="008951BF">
            <w:pPr>
              <w:ind w:left="426"/>
              <w:jc w:val="right"/>
              <w:rPr>
                <w:rFonts w:cs="Arial"/>
                <w:sz w:val="20"/>
                <w:lang w:val="fi-FI" w:eastAsia="fi-FI"/>
              </w:rPr>
            </w:pPr>
          </w:p>
        </w:tc>
        <w:tc>
          <w:tcPr>
            <w:tcW w:w="1484" w:type="dxa"/>
          </w:tcPr>
          <w:p w:rsidR="00CF3D7D" w:rsidRPr="003E3697" w:rsidRDefault="00CF3D7D" w:rsidP="008951BF">
            <w:pPr>
              <w:ind w:left="426"/>
              <w:jc w:val="right"/>
              <w:rPr>
                <w:rFonts w:cs="Arial"/>
                <w:bCs/>
                <w:sz w:val="20"/>
              </w:rPr>
            </w:pPr>
            <w:r w:rsidRPr="003E3697">
              <w:rPr>
                <w:rFonts w:cs="Arial"/>
                <w:bCs/>
                <w:sz w:val="20"/>
              </w:rPr>
              <w:t>0</w:t>
            </w:r>
          </w:p>
        </w:tc>
      </w:tr>
      <w:tr w:rsidR="00CF3D7D" w:rsidRPr="003E3697" w:rsidTr="00CF3D7D">
        <w:trPr>
          <w:trHeight w:val="225"/>
        </w:trPr>
        <w:tc>
          <w:tcPr>
            <w:tcW w:w="4123" w:type="dxa"/>
            <w:noWrap/>
          </w:tcPr>
          <w:p w:rsidR="00CF3D7D" w:rsidRPr="003E3697" w:rsidRDefault="00CF3D7D" w:rsidP="00F923C3">
            <w:pPr>
              <w:rPr>
                <w:rFonts w:cs="Arial"/>
                <w:b/>
                <w:sz w:val="20"/>
                <w:lang w:eastAsia="fi-FI"/>
              </w:rPr>
            </w:pPr>
          </w:p>
        </w:tc>
        <w:tc>
          <w:tcPr>
            <w:tcW w:w="1483" w:type="dxa"/>
            <w:noWrap/>
          </w:tcPr>
          <w:p w:rsidR="00CF3D7D" w:rsidRPr="003E3697" w:rsidRDefault="00CF3D7D" w:rsidP="008951BF">
            <w:pPr>
              <w:ind w:left="426"/>
              <w:jc w:val="right"/>
              <w:rPr>
                <w:rFonts w:cs="Arial"/>
                <w:b/>
                <w:sz w:val="20"/>
                <w:lang w:val="fi-FI" w:eastAsia="fi-FI"/>
              </w:rPr>
            </w:pPr>
          </w:p>
        </w:tc>
        <w:tc>
          <w:tcPr>
            <w:tcW w:w="1484" w:type="dxa"/>
          </w:tcPr>
          <w:p w:rsidR="00CF3D7D" w:rsidRPr="003E3697" w:rsidRDefault="00CF3D7D" w:rsidP="008951BF">
            <w:pPr>
              <w:ind w:left="426"/>
              <w:jc w:val="right"/>
              <w:rPr>
                <w:rFonts w:cs="Arial"/>
                <w:b/>
                <w:sz w:val="20"/>
                <w:lang w:val="fi-FI" w:eastAsia="fi-FI"/>
              </w:rPr>
            </w:pPr>
          </w:p>
        </w:tc>
        <w:tc>
          <w:tcPr>
            <w:tcW w:w="1484" w:type="dxa"/>
          </w:tcPr>
          <w:p w:rsidR="00CF3D7D" w:rsidRPr="003E3697" w:rsidRDefault="00CF3D7D" w:rsidP="008951BF">
            <w:pPr>
              <w:ind w:left="426"/>
              <w:jc w:val="right"/>
              <w:rPr>
                <w:rFonts w:cs="Arial"/>
                <w:b/>
                <w:sz w:val="20"/>
                <w:lang w:val="fi-FI" w:eastAsia="fi-FI"/>
              </w:rPr>
            </w:pPr>
          </w:p>
        </w:tc>
        <w:tc>
          <w:tcPr>
            <w:tcW w:w="1484" w:type="dxa"/>
          </w:tcPr>
          <w:p w:rsidR="00CF3D7D" w:rsidRPr="003E3697" w:rsidRDefault="00CF3D7D" w:rsidP="008951BF">
            <w:pPr>
              <w:ind w:left="426"/>
              <w:jc w:val="right"/>
              <w:rPr>
                <w:rFonts w:cs="Arial"/>
                <w:b/>
                <w:sz w:val="20"/>
                <w:lang w:val="fi-FI" w:eastAsia="fi-FI"/>
              </w:rPr>
            </w:pPr>
          </w:p>
        </w:tc>
      </w:tr>
      <w:tr w:rsidR="00C8450C" w:rsidRPr="003E3697" w:rsidTr="00237177">
        <w:trPr>
          <w:trHeight w:val="225"/>
        </w:trPr>
        <w:tc>
          <w:tcPr>
            <w:tcW w:w="4123" w:type="dxa"/>
            <w:noWrap/>
          </w:tcPr>
          <w:p w:rsidR="00C8450C" w:rsidRPr="003E3697" w:rsidRDefault="00C8450C" w:rsidP="00F923C3">
            <w:pPr>
              <w:rPr>
                <w:rFonts w:cs="Arial"/>
                <w:sz w:val="20"/>
                <w:lang w:eastAsia="fi-FI"/>
              </w:rPr>
            </w:pPr>
            <w:r w:rsidRPr="003E3697">
              <w:rPr>
                <w:rFonts w:cs="Arial"/>
                <w:b/>
                <w:sz w:val="20"/>
                <w:lang w:eastAsia="fi-FI"/>
              </w:rPr>
              <w:t>TOTAL EQUITY AND LIABILITIES</w:t>
            </w:r>
          </w:p>
        </w:tc>
        <w:tc>
          <w:tcPr>
            <w:tcW w:w="1483" w:type="dxa"/>
            <w:noWrap/>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17</w:t>
            </w:r>
            <w:r w:rsidR="008C4D25">
              <w:rPr>
                <w:rFonts w:cs="Arial"/>
                <w:b/>
                <w:bCs/>
                <w:color w:val="000000"/>
                <w:sz w:val="20"/>
                <w:szCs w:val="20"/>
                <w:lang w:val="fi-FI"/>
              </w:rPr>
              <w:t>,</w:t>
            </w:r>
            <w:r w:rsidRPr="00747871">
              <w:rPr>
                <w:rFonts w:cs="Arial"/>
                <w:b/>
                <w:bCs/>
                <w:color w:val="000000"/>
                <w:sz w:val="20"/>
                <w:szCs w:val="20"/>
                <w:lang w:val="fi-FI"/>
              </w:rPr>
              <w:t>599</w:t>
            </w:r>
          </w:p>
        </w:tc>
        <w:tc>
          <w:tcPr>
            <w:tcW w:w="1484" w:type="dxa"/>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13</w:t>
            </w:r>
            <w:r w:rsidR="008C4D25">
              <w:rPr>
                <w:rFonts w:cs="Arial"/>
                <w:b/>
                <w:bCs/>
                <w:color w:val="000000"/>
                <w:sz w:val="20"/>
                <w:szCs w:val="20"/>
                <w:lang w:val="fi-FI"/>
              </w:rPr>
              <w:t>,</w:t>
            </w:r>
            <w:r w:rsidRPr="00747871">
              <w:rPr>
                <w:rFonts w:cs="Arial"/>
                <w:b/>
                <w:bCs/>
                <w:color w:val="000000"/>
                <w:sz w:val="20"/>
                <w:szCs w:val="20"/>
                <w:lang w:val="fi-FI"/>
              </w:rPr>
              <w:t>836</w:t>
            </w:r>
          </w:p>
        </w:tc>
        <w:tc>
          <w:tcPr>
            <w:tcW w:w="1484"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27</w:t>
            </w:r>
          </w:p>
        </w:tc>
        <w:tc>
          <w:tcPr>
            <w:tcW w:w="1484" w:type="dxa"/>
            <w:vAlign w:val="bottom"/>
          </w:tcPr>
          <w:p w:rsidR="00C8450C" w:rsidRPr="00747871" w:rsidRDefault="00C8450C" w:rsidP="00237177">
            <w:pPr>
              <w:jc w:val="right"/>
              <w:rPr>
                <w:rFonts w:cs="Arial"/>
                <w:b/>
                <w:bCs/>
                <w:color w:val="000000"/>
                <w:sz w:val="20"/>
                <w:szCs w:val="20"/>
                <w:lang w:val="fi-FI"/>
              </w:rPr>
            </w:pPr>
            <w:r w:rsidRPr="00747871">
              <w:rPr>
                <w:rFonts w:cs="Arial"/>
                <w:b/>
                <w:bCs/>
                <w:color w:val="000000"/>
                <w:sz w:val="20"/>
                <w:szCs w:val="20"/>
                <w:lang w:val="fi-FI"/>
              </w:rPr>
              <w:t>14</w:t>
            </w:r>
            <w:r w:rsidR="008C4D25">
              <w:rPr>
                <w:rFonts w:cs="Arial"/>
                <w:b/>
                <w:bCs/>
                <w:color w:val="000000"/>
                <w:sz w:val="20"/>
                <w:szCs w:val="20"/>
                <w:lang w:val="fi-FI"/>
              </w:rPr>
              <w:t>,</w:t>
            </w:r>
            <w:r w:rsidRPr="00747871">
              <w:rPr>
                <w:rFonts w:cs="Arial"/>
                <w:b/>
                <w:bCs/>
                <w:color w:val="000000"/>
                <w:sz w:val="20"/>
                <w:szCs w:val="20"/>
                <w:lang w:val="fi-FI"/>
              </w:rPr>
              <w:t>394</w:t>
            </w:r>
          </w:p>
        </w:tc>
      </w:tr>
      <w:tr w:rsidR="00CF3D7D" w:rsidRPr="003E3697" w:rsidTr="00CF3D7D">
        <w:trPr>
          <w:trHeight w:val="225"/>
        </w:trPr>
        <w:tc>
          <w:tcPr>
            <w:tcW w:w="4123" w:type="dxa"/>
            <w:noWrap/>
          </w:tcPr>
          <w:p w:rsidR="00CF3D7D" w:rsidRPr="003E3697" w:rsidRDefault="00CF3D7D" w:rsidP="00F923C3">
            <w:pPr>
              <w:rPr>
                <w:rFonts w:cs="Arial"/>
                <w:sz w:val="20"/>
                <w:lang w:eastAsia="fi-FI"/>
              </w:rPr>
            </w:pPr>
          </w:p>
        </w:tc>
        <w:tc>
          <w:tcPr>
            <w:tcW w:w="1483" w:type="dxa"/>
            <w:noWrap/>
          </w:tcPr>
          <w:p w:rsidR="00CF3D7D" w:rsidRPr="003E3697" w:rsidRDefault="00CF3D7D" w:rsidP="00F923C3">
            <w:pPr>
              <w:jc w:val="right"/>
              <w:rPr>
                <w:rFonts w:cs="Arial"/>
                <w:b/>
                <w:bCs/>
                <w:sz w:val="20"/>
                <w:lang w:eastAsia="fi-FI"/>
              </w:rPr>
            </w:pPr>
          </w:p>
        </w:tc>
        <w:tc>
          <w:tcPr>
            <w:tcW w:w="1484" w:type="dxa"/>
          </w:tcPr>
          <w:p w:rsidR="00CF3D7D" w:rsidRPr="003E3697" w:rsidRDefault="00CF3D7D" w:rsidP="00F923C3">
            <w:pPr>
              <w:jc w:val="right"/>
              <w:rPr>
                <w:rFonts w:cs="Arial"/>
                <w:sz w:val="20"/>
                <w:lang w:eastAsia="fi-FI"/>
              </w:rPr>
            </w:pPr>
          </w:p>
        </w:tc>
        <w:tc>
          <w:tcPr>
            <w:tcW w:w="1484" w:type="dxa"/>
          </w:tcPr>
          <w:p w:rsidR="00CF3D7D" w:rsidRPr="003E3697" w:rsidRDefault="00CF3D7D" w:rsidP="00F923C3">
            <w:pPr>
              <w:jc w:val="right"/>
              <w:rPr>
                <w:rFonts w:cs="Arial"/>
                <w:sz w:val="20"/>
                <w:lang w:eastAsia="fi-FI"/>
              </w:rPr>
            </w:pPr>
            <w:r w:rsidRPr="003E3697">
              <w:rPr>
                <w:rFonts w:cs="Arial"/>
                <w:sz w:val="20"/>
                <w:lang w:eastAsia="fi-FI"/>
              </w:rPr>
              <w:t xml:space="preserve"> </w:t>
            </w:r>
          </w:p>
        </w:tc>
        <w:tc>
          <w:tcPr>
            <w:tcW w:w="1484" w:type="dxa"/>
          </w:tcPr>
          <w:p w:rsidR="00CF3D7D" w:rsidRPr="003E3697" w:rsidRDefault="00CF3D7D" w:rsidP="00F923C3">
            <w:pPr>
              <w:jc w:val="right"/>
              <w:rPr>
                <w:rFonts w:cs="Arial"/>
                <w:sz w:val="20"/>
                <w:lang w:eastAsia="fi-FI"/>
              </w:rPr>
            </w:pPr>
          </w:p>
        </w:tc>
      </w:tr>
    </w:tbl>
    <w:p w:rsidR="00A466B8" w:rsidRPr="008951BF" w:rsidRDefault="00A466B8" w:rsidP="00A466B8">
      <w:pPr>
        <w:rPr>
          <w:rFonts w:cs="Arial"/>
        </w:rPr>
      </w:pPr>
    </w:p>
    <w:p w:rsidR="00A466B8" w:rsidRDefault="00A466B8" w:rsidP="00AD6CF6">
      <w:pPr>
        <w:rPr>
          <w:rFonts w:cs="Arial"/>
        </w:rPr>
      </w:pPr>
      <w:bookmarkStart w:id="4" w:name="OLE_LINK4"/>
      <w:r w:rsidRPr="008951BF">
        <w:rPr>
          <w:rFonts w:cs="Arial"/>
        </w:rPr>
        <w:br w:type="page"/>
      </w:r>
      <w:r w:rsidRPr="008951BF">
        <w:rPr>
          <w:rFonts w:cs="Arial"/>
        </w:rPr>
        <w:lastRenderedPageBreak/>
        <w:t>Annex 3</w:t>
      </w:r>
    </w:p>
    <w:p w:rsidR="003E3697" w:rsidRPr="00AD6CF6" w:rsidRDefault="003E3697" w:rsidP="00A466B8">
      <w:pPr>
        <w:rPr>
          <w:rFonts w:cs="Arial"/>
          <w:b/>
        </w:rPr>
      </w:pPr>
      <w:r w:rsidRPr="00AD6CF6">
        <w:rPr>
          <w:rFonts w:cs="Arial"/>
          <w:b/>
        </w:rPr>
        <w:t>CONSOLIDATED CASH FLOW STATEMENT (IFRS), CONTINU</w:t>
      </w:r>
      <w:r w:rsidR="00DC694B">
        <w:rPr>
          <w:rFonts w:cs="Arial"/>
          <w:b/>
        </w:rPr>
        <w:t>ING</w:t>
      </w:r>
      <w:r w:rsidRPr="00AD6CF6">
        <w:rPr>
          <w:rFonts w:cs="Arial"/>
          <w:b/>
        </w:rPr>
        <w:t xml:space="preserve"> OPERATIONS</w:t>
      </w:r>
    </w:p>
    <w:p w:rsidR="00A466B8" w:rsidRPr="008951BF" w:rsidRDefault="00A466B8" w:rsidP="00A466B8">
      <w:pPr>
        <w:rPr>
          <w:rFonts w:cs="Arial"/>
        </w:rPr>
      </w:pPr>
    </w:p>
    <w:tbl>
      <w:tblPr>
        <w:tblStyle w:val="TableSimple1"/>
        <w:tblW w:w="9530" w:type="dxa"/>
        <w:tblLayout w:type="fixed"/>
        <w:tblLook w:val="0000" w:firstRow="0" w:lastRow="0" w:firstColumn="0" w:lastColumn="0" w:noHBand="0" w:noVBand="0"/>
      </w:tblPr>
      <w:tblGrid>
        <w:gridCol w:w="4994"/>
        <w:gridCol w:w="1418"/>
        <w:gridCol w:w="1559"/>
        <w:gridCol w:w="1559"/>
      </w:tblGrid>
      <w:tr w:rsidR="00C8450C" w:rsidRPr="003E3697" w:rsidTr="00237177">
        <w:trPr>
          <w:trHeight w:val="225"/>
        </w:trPr>
        <w:tc>
          <w:tcPr>
            <w:tcW w:w="4994" w:type="dxa"/>
            <w:tcBorders>
              <w:top w:val="single" w:sz="12" w:space="0" w:color="008000"/>
              <w:bottom w:val="nil"/>
            </w:tcBorders>
            <w:noWrap/>
          </w:tcPr>
          <w:p w:rsidR="00C8450C" w:rsidRPr="003E3697" w:rsidRDefault="00C8450C" w:rsidP="00F923C3">
            <w:pPr>
              <w:rPr>
                <w:rFonts w:cs="Arial"/>
                <w:bCs/>
                <w:sz w:val="20"/>
                <w:lang w:eastAsia="fi-FI"/>
              </w:rPr>
            </w:pPr>
          </w:p>
        </w:tc>
        <w:tc>
          <w:tcPr>
            <w:tcW w:w="1418" w:type="dxa"/>
            <w:tcBorders>
              <w:top w:val="single" w:sz="12" w:space="0" w:color="008000"/>
              <w:bottom w:val="nil"/>
            </w:tcBorders>
          </w:tcPr>
          <w:p w:rsidR="00C8450C" w:rsidRPr="003E3697" w:rsidRDefault="00C8450C" w:rsidP="00F923C3">
            <w:pPr>
              <w:jc w:val="right"/>
              <w:rPr>
                <w:rFonts w:cs="Arial"/>
                <w:bCs/>
                <w:sz w:val="20"/>
                <w:lang w:eastAsia="fi-FI"/>
              </w:rPr>
            </w:pPr>
          </w:p>
        </w:tc>
        <w:tc>
          <w:tcPr>
            <w:tcW w:w="1559" w:type="dxa"/>
            <w:tcBorders>
              <w:top w:val="single" w:sz="12" w:space="0" w:color="008000"/>
              <w:bottom w:val="nil"/>
            </w:tcBorders>
          </w:tcPr>
          <w:p w:rsidR="00C8450C" w:rsidRPr="003E3697" w:rsidRDefault="00C8450C" w:rsidP="00F923C3">
            <w:pPr>
              <w:jc w:val="right"/>
              <w:rPr>
                <w:rFonts w:cs="Arial"/>
                <w:bCs/>
                <w:sz w:val="20"/>
                <w:lang w:eastAsia="fi-FI"/>
              </w:rPr>
            </w:pPr>
          </w:p>
        </w:tc>
        <w:tc>
          <w:tcPr>
            <w:tcW w:w="1559" w:type="dxa"/>
            <w:tcBorders>
              <w:top w:val="single" w:sz="12" w:space="0" w:color="008000"/>
              <w:bottom w:val="nil"/>
            </w:tcBorders>
          </w:tcPr>
          <w:p w:rsidR="00C8450C" w:rsidRPr="003E3697" w:rsidRDefault="00C8450C" w:rsidP="00F923C3">
            <w:pPr>
              <w:jc w:val="right"/>
              <w:rPr>
                <w:rFonts w:cs="Arial"/>
                <w:bCs/>
                <w:sz w:val="20"/>
                <w:lang w:eastAsia="fi-FI"/>
              </w:rPr>
            </w:pPr>
          </w:p>
        </w:tc>
      </w:tr>
      <w:tr w:rsidR="00C8450C" w:rsidRPr="003E3697" w:rsidTr="00237177">
        <w:trPr>
          <w:trHeight w:val="225"/>
        </w:trPr>
        <w:tc>
          <w:tcPr>
            <w:tcW w:w="4994" w:type="dxa"/>
            <w:tcBorders>
              <w:top w:val="nil"/>
              <w:bottom w:val="single" w:sz="4" w:space="0" w:color="auto"/>
            </w:tcBorders>
            <w:noWrap/>
          </w:tcPr>
          <w:p w:rsidR="00C8450C" w:rsidRPr="003E3697" w:rsidRDefault="00C8450C" w:rsidP="00F923C3">
            <w:pPr>
              <w:rPr>
                <w:rFonts w:cs="Arial"/>
                <w:sz w:val="20"/>
                <w:lang w:eastAsia="fi-FI"/>
              </w:rPr>
            </w:pPr>
            <w:r w:rsidRPr="003E3697">
              <w:rPr>
                <w:rFonts w:cs="Arial"/>
                <w:sz w:val="20"/>
                <w:lang w:eastAsia="fi-FI"/>
              </w:rPr>
              <w:t>(EUR thousands, unaudited)</w:t>
            </w:r>
          </w:p>
        </w:tc>
        <w:tc>
          <w:tcPr>
            <w:tcW w:w="1418" w:type="dxa"/>
            <w:tcBorders>
              <w:top w:val="nil"/>
              <w:bottom w:val="single" w:sz="4" w:space="0" w:color="auto"/>
            </w:tcBorders>
          </w:tcPr>
          <w:p w:rsidR="00C8450C" w:rsidRPr="00747871" w:rsidRDefault="00C8450C" w:rsidP="00237177">
            <w:pPr>
              <w:ind w:left="426"/>
              <w:jc w:val="right"/>
              <w:rPr>
                <w:rFonts w:cs="Arial"/>
                <w:b/>
                <w:bCs/>
                <w:sz w:val="18"/>
                <w:szCs w:val="18"/>
                <w:lang w:val="fi-FI" w:eastAsia="fi-FI"/>
              </w:rPr>
            </w:pPr>
            <w:r w:rsidRPr="00747871">
              <w:rPr>
                <w:rFonts w:cs="Arial"/>
                <w:b/>
                <w:bCs/>
                <w:sz w:val="18"/>
                <w:szCs w:val="18"/>
                <w:lang w:val="fi-FI" w:eastAsia="fi-FI"/>
              </w:rPr>
              <w:t>1-6/2015</w:t>
            </w:r>
          </w:p>
        </w:tc>
        <w:tc>
          <w:tcPr>
            <w:tcW w:w="1559" w:type="dxa"/>
            <w:tcBorders>
              <w:top w:val="nil"/>
              <w:bottom w:val="single" w:sz="4" w:space="0" w:color="auto"/>
            </w:tcBorders>
          </w:tcPr>
          <w:p w:rsidR="00C8450C" w:rsidRPr="00747871" w:rsidRDefault="00C8450C" w:rsidP="00237177">
            <w:pPr>
              <w:ind w:left="426"/>
              <w:jc w:val="right"/>
              <w:rPr>
                <w:rFonts w:cs="Arial"/>
                <w:b/>
                <w:bCs/>
                <w:sz w:val="18"/>
                <w:szCs w:val="18"/>
                <w:lang w:val="fi-FI" w:eastAsia="fi-FI"/>
              </w:rPr>
            </w:pPr>
            <w:r w:rsidRPr="00747871">
              <w:rPr>
                <w:rFonts w:cs="Arial"/>
                <w:b/>
                <w:bCs/>
                <w:sz w:val="18"/>
                <w:szCs w:val="18"/>
                <w:lang w:val="fi-FI" w:eastAsia="fi-FI"/>
              </w:rPr>
              <w:t>1-6/2014</w:t>
            </w:r>
          </w:p>
        </w:tc>
        <w:tc>
          <w:tcPr>
            <w:tcW w:w="1559" w:type="dxa"/>
            <w:tcBorders>
              <w:top w:val="nil"/>
              <w:bottom w:val="single" w:sz="4" w:space="0" w:color="auto"/>
            </w:tcBorders>
          </w:tcPr>
          <w:p w:rsidR="00C8450C" w:rsidRPr="00747871" w:rsidRDefault="00C8450C" w:rsidP="00237177">
            <w:pPr>
              <w:ind w:left="426"/>
              <w:jc w:val="right"/>
              <w:rPr>
                <w:rFonts w:cs="Arial"/>
                <w:b/>
                <w:bCs/>
                <w:sz w:val="18"/>
                <w:szCs w:val="18"/>
                <w:lang w:val="fi-FI" w:eastAsia="fi-FI"/>
              </w:rPr>
            </w:pPr>
            <w:r w:rsidRPr="00747871">
              <w:rPr>
                <w:rFonts w:cs="Arial"/>
                <w:b/>
                <w:bCs/>
                <w:sz w:val="18"/>
                <w:szCs w:val="18"/>
                <w:lang w:val="fi-FI" w:eastAsia="fi-FI"/>
              </w:rPr>
              <w:t>1-12/2014</w:t>
            </w:r>
          </w:p>
        </w:tc>
      </w:tr>
      <w:tr w:rsidR="00C8450C" w:rsidRPr="003E3697" w:rsidTr="00237177">
        <w:trPr>
          <w:trHeight w:val="225"/>
        </w:trPr>
        <w:tc>
          <w:tcPr>
            <w:tcW w:w="4994" w:type="dxa"/>
            <w:tcBorders>
              <w:top w:val="single" w:sz="4" w:space="0" w:color="auto"/>
            </w:tcBorders>
            <w:noWrap/>
          </w:tcPr>
          <w:p w:rsidR="00C8450C" w:rsidRPr="003E3697" w:rsidRDefault="00C8450C" w:rsidP="00F923C3">
            <w:pPr>
              <w:rPr>
                <w:rFonts w:cs="Arial"/>
                <w:sz w:val="20"/>
                <w:lang w:eastAsia="fi-FI"/>
              </w:rPr>
            </w:pPr>
          </w:p>
        </w:tc>
        <w:tc>
          <w:tcPr>
            <w:tcW w:w="1418" w:type="dxa"/>
            <w:tcBorders>
              <w:top w:val="single" w:sz="4" w:space="0" w:color="auto"/>
            </w:tcBorders>
            <w:noWrap/>
          </w:tcPr>
          <w:p w:rsidR="00C8450C" w:rsidRPr="003E3697" w:rsidRDefault="00C8450C" w:rsidP="00F923C3">
            <w:pPr>
              <w:jc w:val="right"/>
              <w:rPr>
                <w:rFonts w:cs="Arial"/>
                <w:sz w:val="20"/>
                <w:lang w:eastAsia="fi-FI"/>
              </w:rPr>
            </w:pPr>
          </w:p>
        </w:tc>
        <w:tc>
          <w:tcPr>
            <w:tcW w:w="1559" w:type="dxa"/>
            <w:tcBorders>
              <w:top w:val="single" w:sz="4" w:space="0" w:color="auto"/>
            </w:tcBorders>
          </w:tcPr>
          <w:p w:rsidR="00C8450C" w:rsidRPr="003E3697" w:rsidRDefault="00C8450C" w:rsidP="00F923C3">
            <w:pPr>
              <w:jc w:val="right"/>
              <w:rPr>
                <w:rFonts w:cs="Arial"/>
                <w:sz w:val="20"/>
                <w:lang w:eastAsia="fi-FI"/>
              </w:rPr>
            </w:pPr>
          </w:p>
        </w:tc>
        <w:tc>
          <w:tcPr>
            <w:tcW w:w="1559" w:type="dxa"/>
            <w:tcBorders>
              <w:top w:val="single" w:sz="4" w:space="0" w:color="auto"/>
            </w:tcBorders>
          </w:tcPr>
          <w:p w:rsidR="00C8450C" w:rsidRPr="003E3697" w:rsidRDefault="00C8450C" w:rsidP="00F923C3">
            <w:pPr>
              <w:jc w:val="right"/>
              <w:rPr>
                <w:rFonts w:cs="Arial"/>
                <w:sz w:val="20"/>
                <w:lang w:eastAsia="fi-FI"/>
              </w:rPr>
            </w:pPr>
          </w:p>
        </w:tc>
      </w:tr>
      <w:tr w:rsidR="00C8450C" w:rsidRPr="003E3697" w:rsidTr="00C8450C">
        <w:trPr>
          <w:trHeight w:val="225"/>
        </w:trPr>
        <w:tc>
          <w:tcPr>
            <w:tcW w:w="4994" w:type="dxa"/>
            <w:noWrap/>
          </w:tcPr>
          <w:p w:rsidR="00C8450C" w:rsidRPr="003E3697" w:rsidRDefault="00C8450C" w:rsidP="00F923C3">
            <w:pPr>
              <w:rPr>
                <w:rFonts w:cs="Arial"/>
                <w:sz w:val="20"/>
                <w:lang w:eastAsia="fi-FI"/>
              </w:rPr>
            </w:pPr>
            <w:r w:rsidRPr="003E3697">
              <w:rPr>
                <w:rFonts w:cs="Arial"/>
                <w:b/>
                <w:sz w:val="20"/>
                <w:lang w:eastAsia="fi-FI"/>
              </w:rPr>
              <w:t>Cash flow from operating activities</w:t>
            </w:r>
          </w:p>
        </w:tc>
        <w:tc>
          <w:tcPr>
            <w:tcW w:w="1418" w:type="dxa"/>
          </w:tcPr>
          <w:p w:rsidR="00C8450C" w:rsidRPr="003E3697" w:rsidRDefault="00C8450C" w:rsidP="00F923C3">
            <w:pPr>
              <w:jc w:val="right"/>
              <w:rPr>
                <w:rFonts w:cs="Arial"/>
                <w:sz w:val="20"/>
              </w:rPr>
            </w:pPr>
          </w:p>
        </w:tc>
        <w:tc>
          <w:tcPr>
            <w:tcW w:w="1559" w:type="dxa"/>
          </w:tcPr>
          <w:p w:rsidR="00C8450C" w:rsidRPr="003E3697" w:rsidRDefault="00C8450C" w:rsidP="00F923C3">
            <w:pPr>
              <w:jc w:val="right"/>
              <w:rPr>
                <w:rFonts w:cs="Arial"/>
                <w:sz w:val="20"/>
              </w:rPr>
            </w:pPr>
          </w:p>
        </w:tc>
        <w:tc>
          <w:tcPr>
            <w:tcW w:w="1559" w:type="dxa"/>
          </w:tcPr>
          <w:p w:rsidR="00C8450C" w:rsidRPr="003E3697" w:rsidRDefault="00C8450C" w:rsidP="00F923C3">
            <w:pPr>
              <w:jc w:val="right"/>
              <w:rPr>
                <w:rFonts w:cs="Arial"/>
                <w:sz w:val="20"/>
              </w:rPr>
            </w:pPr>
          </w:p>
        </w:tc>
      </w:tr>
      <w:tr w:rsidR="00C8450C" w:rsidRPr="003E3697" w:rsidTr="00237177">
        <w:trPr>
          <w:trHeight w:val="225"/>
        </w:trPr>
        <w:tc>
          <w:tcPr>
            <w:tcW w:w="4994" w:type="dxa"/>
            <w:noWrap/>
          </w:tcPr>
          <w:p w:rsidR="00C8450C" w:rsidRPr="003E3697" w:rsidRDefault="00C8450C" w:rsidP="00497C8D">
            <w:pPr>
              <w:rPr>
                <w:rFonts w:cs="Arial"/>
                <w:sz w:val="20"/>
                <w:lang w:eastAsia="fi-FI"/>
              </w:rPr>
            </w:pPr>
            <w:r w:rsidRPr="003E3697">
              <w:rPr>
                <w:rFonts w:cs="Arial"/>
                <w:sz w:val="20"/>
                <w:lang w:eastAsia="fi-FI"/>
              </w:rPr>
              <w:t>Operating profit, continuing operations</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1</w:t>
            </w:r>
            <w:r w:rsidR="008C4D25">
              <w:rPr>
                <w:rFonts w:cs="Arial"/>
                <w:sz w:val="20"/>
                <w:szCs w:val="20"/>
                <w:lang w:val="fi-FI"/>
              </w:rPr>
              <w:t>,</w:t>
            </w:r>
            <w:r w:rsidRPr="00747871">
              <w:rPr>
                <w:rFonts w:cs="Arial"/>
                <w:sz w:val="20"/>
                <w:szCs w:val="20"/>
                <w:lang w:val="fi-FI"/>
              </w:rPr>
              <w:t>335</w:t>
            </w:r>
          </w:p>
        </w:tc>
        <w:tc>
          <w:tcPr>
            <w:tcW w:w="1559"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143</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1</w:t>
            </w:r>
            <w:r w:rsidR="008C4D25">
              <w:rPr>
                <w:rFonts w:cs="Arial"/>
                <w:sz w:val="20"/>
                <w:szCs w:val="20"/>
                <w:lang w:val="fi-FI"/>
              </w:rPr>
              <w:t>,</w:t>
            </w:r>
            <w:r w:rsidRPr="00747871">
              <w:rPr>
                <w:rFonts w:cs="Arial"/>
                <w:sz w:val="20"/>
                <w:szCs w:val="20"/>
                <w:lang w:val="fi-FI"/>
              </w:rPr>
              <w:t>061</w:t>
            </w:r>
          </w:p>
        </w:tc>
      </w:tr>
      <w:tr w:rsidR="00C8450C" w:rsidRPr="003E3697" w:rsidTr="00237177">
        <w:trPr>
          <w:trHeight w:val="225"/>
        </w:trPr>
        <w:tc>
          <w:tcPr>
            <w:tcW w:w="4994" w:type="dxa"/>
            <w:noWrap/>
          </w:tcPr>
          <w:p w:rsidR="00C8450C" w:rsidRPr="003E3697" w:rsidRDefault="00C8450C" w:rsidP="00721976">
            <w:pPr>
              <w:rPr>
                <w:rFonts w:cs="Arial"/>
                <w:sz w:val="20"/>
                <w:lang w:eastAsia="fi-FI"/>
              </w:rPr>
            </w:pPr>
            <w:r w:rsidRPr="003E3697">
              <w:rPr>
                <w:rFonts w:cs="Arial"/>
                <w:sz w:val="20"/>
                <w:lang w:eastAsia="fi-FI"/>
              </w:rPr>
              <w:t>Operating profit, discontinued operations</w:t>
            </w:r>
          </w:p>
        </w:tc>
        <w:tc>
          <w:tcPr>
            <w:tcW w:w="1418" w:type="dxa"/>
            <w:vAlign w:val="bottom"/>
          </w:tcPr>
          <w:p w:rsidR="00C8450C" w:rsidRPr="00747871" w:rsidRDefault="000E653B" w:rsidP="000E653B">
            <w:pPr>
              <w:jc w:val="right"/>
              <w:rPr>
                <w:rFonts w:cs="Arial"/>
                <w:sz w:val="20"/>
                <w:szCs w:val="20"/>
                <w:lang w:val="fi-FI"/>
              </w:rPr>
            </w:pPr>
            <w:r>
              <w:rPr>
                <w:rFonts w:cs="Arial"/>
                <w:sz w:val="20"/>
                <w:szCs w:val="20"/>
                <w:lang w:val="fi-FI"/>
              </w:rPr>
              <w:t>-</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64</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396</w:t>
            </w:r>
          </w:p>
        </w:tc>
      </w:tr>
      <w:tr w:rsidR="00C8450C" w:rsidRPr="003E3697" w:rsidTr="00237177">
        <w:trPr>
          <w:trHeight w:val="225"/>
        </w:trPr>
        <w:tc>
          <w:tcPr>
            <w:tcW w:w="4994" w:type="dxa"/>
            <w:noWrap/>
          </w:tcPr>
          <w:p w:rsidR="00C8450C" w:rsidRPr="003E3697" w:rsidRDefault="00C8450C" w:rsidP="00F923C3">
            <w:pPr>
              <w:rPr>
                <w:rFonts w:cs="Arial"/>
                <w:sz w:val="20"/>
                <w:lang w:eastAsia="fi-FI"/>
              </w:rPr>
            </w:pPr>
            <w:r w:rsidRPr="003E3697">
              <w:rPr>
                <w:rFonts w:cs="Arial"/>
                <w:sz w:val="20"/>
                <w:lang w:eastAsia="fi-FI"/>
              </w:rPr>
              <w:t>Operating profit, in total</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1</w:t>
            </w:r>
            <w:r w:rsidR="008C4D25">
              <w:rPr>
                <w:rFonts w:cs="Arial"/>
                <w:sz w:val="20"/>
                <w:szCs w:val="20"/>
                <w:lang w:val="fi-FI"/>
              </w:rPr>
              <w:t>,</w:t>
            </w:r>
            <w:r w:rsidRPr="00747871">
              <w:rPr>
                <w:rFonts w:cs="Arial"/>
                <w:sz w:val="20"/>
                <w:szCs w:val="20"/>
                <w:lang w:val="fi-FI"/>
              </w:rPr>
              <w:t>335</w:t>
            </w:r>
          </w:p>
        </w:tc>
        <w:tc>
          <w:tcPr>
            <w:tcW w:w="1559"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79</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1</w:t>
            </w:r>
            <w:r w:rsidR="008C4D25">
              <w:rPr>
                <w:rFonts w:cs="Arial"/>
                <w:sz w:val="20"/>
                <w:szCs w:val="20"/>
                <w:lang w:val="fi-FI"/>
              </w:rPr>
              <w:t>,</w:t>
            </w:r>
            <w:r w:rsidRPr="00747871">
              <w:rPr>
                <w:rFonts w:cs="Arial"/>
                <w:sz w:val="20"/>
                <w:szCs w:val="20"/>
                <w:lang w:val="fi-FI"/>
              </w:rPr>
              <w:t>457</w:t>
            </w:r>
          </w:p>
        </w:tc>
      </w:tr>
      <w:tr w:rsidR="00C8450C" w:rsidRPr="003E3697" w:rsidTr="00237177">
        <w:trPr>
          <w:trHeight w:val="225"/>
        </w:trPr>
        <w:tc>
          <w:tcPr>
            <w:tcW w:w="4994" w:type="dxa"/>
            <w:noWrap/>
          </w:tcPr>
          <w:p w:rsidR="00C8450C" w:rsidRPr="003E3697" w:rsidRDefault="00C8450C" w:rsidP="00F923C3">
            <w:pPr>
              <w:rPr>
                <w:rFonts w:cs="Arial"/>
                <w:sz w:val="20"/>
                <w:lang w:eastAsia="fi-FI"/>
              </w:rPr>
            </w:pPr>
            <w:r w:rsidRPr="003E3697">
              <w:rPr>
                <w:rFonts w:cs="Arial"/>
                <w:sz w:val="20"/>
                <w:lang w:eastAsia="fi-FI"/>
              </w:rPr>
              <w:t>Adjustments to operating profit</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97</w:t>
            </w:r>
          </w:p>
        </w:tc>
        <w:tc>
          <w:tcPr>
            <w:tcW w:w="1559"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203</w:t>
            </w:r>
          </w:p>
        </w:tc>
        <w:tc>
          <w:tcPr>
            <w:tcW w:w="1559"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528</w:t>
            </w:r>
          </w:p>
        </w:tc>
      </w:tr>
      <w:tr w:rsidR="00C8450C" w:rsidRPr="003E3697" w:rsidTr="00237177">
        <w:trPr>
          <w:trHeight w:val="225"/>
        </w:trPr>
        <w:tc>
          <w:tcPr>
            <w:tcW w:w="4994" w:type="dxa"/>
            <w:noWrap/>
          </w:tcPr>
          <w:p w:rsidR="00C8450C" w:rsidRPr="003E3697" w:rsidRDefault="00C8450C" w:rsidP="00F923C3">
            <w:pPr>
              <w:rPr>
                <w:rFonts w:cs="Arial"/>
                <w:sz w:val="20"/>
                <w:lang w:eastAsia="fi-FI"/>
              </w:rPr>
            </w:pPr>
            <w:r w:rsidRPr="003E3697">
              <w:rPr>
                <w:rFonts w:cs="Arial"/>
                <w:sz w:val="20"/>
                <w:lang w:eastAsia="fi-FI"/>
              </w:rPr>
              <w:t>Change in working capital</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324</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686</w:t>
            </w:r>
          </w:p>
        </w:tc>
        <w:tc>
          <w:tcPr>
            <w:tcW w:w="1559"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1</w:t>
            </w:r>
            <w:r w:rsidR="008C4D25">
              <w:rPr>
                <w:rFonts w:cs="Arial"/>
                <w:sz w:val="20"/>
                <w:szCs w:val="20"/>
                <w:lang w:val="fi-FI"/>
              </w:rPr>
              <w:t>,</w:t>
            </w:r>
            <w:r w:rsidRPr="00747871">
              <w:rPr>
                <w:rFonts w:cs="Arial"/>
                <w:sz w:val="20"/>
                <w:szCs w:val="20"/>
                <w:lang w:val="fi-FI"/>
              </w:rPr>
              <w:t>164</w:t>
            </w:r>
          </w:p>
        </w:tc>
      </w:tr>
      <w:tr w:rsidR="00C8450C" w:rsidRPr="003E3697" w:rsidTr="00237177">
        <w:trPr>
          <w:trHeight w:val="225"/>
        </w:trPr>
        <w:tc>
          <w:tcPr>
            <w:tcW w:w="4994" w:type="dxa"/>
            <w:noWrap/>
          </w:tcPr>
          <w:p w:rsidR="00C8450C" w:rsidRPr="003E3697" w:rsidRDefault="00C8450C" w:rsidP="00F923C3">
            <w:pPr>
              <w:rPr>
                <w:rFonts w:cs="Arial"/>
                <w:sz w:val="20"/>
                <w:lang w:eastAsia="fi-FI"/>
              </w:rPr>
            </w:pPr>
            <w:r w:rsidRPr="003E3697">
              <w:rPr>
                <w:rFonts w:cs="Arial"/>
                <w:sz w:val="20"/>
                <w:lang w:eastAsia="fi-FI"/>
              </w:rPr>
              <w:t>Interest paid and payments made</w:t>
            </w:r>
          </w:p>
        </w:tc>
        <w:tc>
          <w:tcPr>
            <w:tcW w:w="1418"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375</w:t>
            </w:r>
          </w:p>
        </w:tc>
        <w:tc>
          <w:tcPr>
            <w:tcW w:w="1559"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387</w:t>
            </w:r>
          </w:p>
        </w:tc>
        <w:tc>
          <w:tcPr>
            <w:tcW w:w="1559"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699</w:t>
            </w:r>
          </w:p>
        </w:tc>
      </w:tr>
      <w:tr w:rsidR="00C8450C" w:rsidRPr="003E3697" w:rsidTr="00237177">
        <w:trPr>
          <w:trHeight w:val="225"/>
        </w:trPr>
        <w:tc>
          <w:tcPr>
            <w:tcW w:w="4994" w:type="dxa"/>
            <w:noWrap/>
          </w:tcPr>
          <w:p w:rsidR="00C8450C" w:rsidRPr="003E3697" w:rsidRDefault="00C8450C" w:rsidP="00F923C3">
            <w:pPr>
              <w:rPr>
                <w:rFonts w:cs="Arial"/>
                <w:sz w:val="20"/>
                <w:lang w:eastAsia="fi-FI"/>
              </w:rPr>
            </w:pPr>
            <w:r w:rsidRPr="003E3697">
              <w:rPr>
                <w:rFonts w:cs="Arial"/>
                <w:sz w:val="20"/>
                <w:lang w:eastAsia="fi-FI"/>
              </w:rPr>
              <w:t>Interest received</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9</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3</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11</w:t>
            </w:r>
          </w:p>
        </w:tc>
      </w:tr>
      <w:tr w:rsidR="00C8450C" w:rsidRPr="003E3697" w:rsidTr="00B64233">
        <w:trPr>
          <w:trHeight w:val="225"/>
        </w:trPr>
        <w:tc>
          <w:tcPr>
            <w:tcW w:w="4994" w:type="dxa"/>
            <w:noWrap/>
          </w:tcPr>
          <w:p w:rsidR="00C8450C" w:rsidRPr="000E653B" w:rsidRDefault="00C8450C" w:rsidP="00721976">
            <w:pPr>
              <w:rPr>
                <w:rFonts w:cs="Arial"/>
                <w:sz w:val="20"/>
                <w:lang w:eastAsia="fi-FI"/>
              </w:rPr>
            </w:pPr>
            <w:r w:rsidRPr="000E653B">
              <w:rPr>
                <w:rFonts w:cs="Arial"/>
                <w:sz w:val="20"/>
                <w:lang w:eastAsia="fi-FI"/>
              </w:rPr>
              <w:t>Paid tax and tax refund</w:t>
            </w:r>
          </w:p>
        </w:tc>
        <w:tc>
          <w:tcPr>
            <w:tcW w:w="1418" w:type="dxa"/>
            <w:vAlign w:val="bottom"/>
          </w:tcPr>
          <w:p w:rsidR="00C8450C" w:rsidRPr="00B64233" w:rsidRDefault="00B64233" w:rsidP="000E653B">
            <w:pPr>
              <w:jc w:val="right"/>
              <w:rPr>
                <w:rFonts w:cs="Arial"/>
                <w:color w:val="000000"/>
                <w:sz w:val="20"/>
                <w:szCs w:val="20"/>
                <w:lang w:val="en-US"/>
              </w:rPr>
            </w:pPr>
            <w:r w:rsidRPr="00B64233">
              <w:rPr>
                <w:rFonts w:cs="Arial"/>
                <w:color w:val="000000"/>
                <w:sz w:val="20"/>
                <w:szCs w:val="20"/>
                <w:lang w:val="en-US"/>
              </w:rPr>
              <w:t>0</w:t>
            </w:r>
            <w:r w:rsidR="00C8450C" w:rsidRPr="00B64233">
              <w:rPr>
                <w:rFonts w:cs="Arial"/>
                <w:color w:val="000000"/>
                <w:sz w:val="20"/>
                <w:szCs w:val="20"/>
                <w:lang w:val="en-US"/>
              </w:rPr>
              <w:t> </w:t>
            </w:r>
          </w:p>
        </w:tc>
        <w:tc>
          <w:tcPr>
            <w:tcW w:w="1559" w:type="dxa"/>
            <w:vAlign w:val="bottom"/>
          </w:tcPr>
          <w:p w:rsidR="00C8450C" w:rsidRPr="00B64233" w:rsidRDefault="00B64233" w:rsidP="000E653B">
            <w:pPr>
              <w:jc w:val="right"/>
              <w:rPr>
                <w:rFonts w:cs="Arial"/>
                <w:color w:val="000000"/>
                <w:sz w:val="20"/>
                <w:szCs w:val="20"/>
                <w:lang w:val="en-US"/>
              </w:rPr>
            </w:pPr>
            <w:r w:rsidRPr="00B64233">
              <w:rPr>
                <w:rFonts w:cs="Arial"/>
                <w:color w:val="000000"/>
                <w:sz w:val="20"/>
                <w:szCs w:val="20"/>
                <w:lang w:val="en-US"/>
              </w:rPr>
              <w:t>0</w:t>
            </w:r>
          </w:p>
        </w:tc>
        <w:tc>
          <w:tcPr>
            <w:tcW w:w="1559" w:type="dxa"/>
            <w:vAlign w:val="bottom"/>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182</w:t>
            </w:r>
          </w:p>
        </w:tc>
      </w:tr>
      <w:tr w:rsidR="00C8450C" w:rsidRPr="003E3697" w:rsidTr="00237177">
        <w:trPr>
          <w:trHeight w:val="225"/>
        </w:trPr>
        <w:tc>
          <w:tcPr>
            <w:tcW w:w="4994" w:type="dxa"/>
            <w:noWrap/>
          </w:tcPr>
          <w:p w:rsidR="00C8450C" w:rsidRPr="003E3697" w:rsidRDefault="00C8450C" w:rsidP="00F923C3">
            <w:pPr>
              <w:rPr>
                <w:rFonts w:cs="Arial"/>
                <w:sz w:val="20"/>
                <w:lang w:eastAsia="fi-FI"/>
              </w:rPr>
            </w:pPr>
            <w:r w:rsidRPr="003E3697">
              <w:rPr>
                <w:rFonts w:cs="Arial"/>
                <w:b/>
                <w:sz w:val="20"/>
                <w:lang w:eastAsia="fi-FI"/>
              </w:rPr>
              <w:t>Cash flow from operating activities</w:t>
            </w:r>
          </w:p>
        </w:tc>
        <w:tc>
          <w:tcPr>
            <w:tcW w:w="1418" w:type="dxa"/>
            <w:vAlign w:val="bottom"/>
          </w:tcPr>
          <w:p w:rsidR="00C8450C" w:rsidRPr="00747871" w:rsidRDefault="00C8450C" w:rsidP="00237177">
            <w:pPr>
              <w:jc w:val="right"/>
              <w:rPr>
                <w:rFonts w:cs="Arial"/>
                <w:b/>
                <w:bCs/>
                <w:sz w:val="20"/>
                <w:szCs w:val="20"/>
                <w:lang w:val="fi-FI"/>
              </w:rPr>
            </w:pPr>
            <w:r w:rsidRPr="00747871">
              <w:rPr>
                <w:rFonts w:cs="Arial"/>
                <w:b/>
                <w:bCs/>
                <w:sz w:val="20"/>
                <w:szCs w:val="20"/>
                <w:lang w:val="fi-FI"/>
              </w:rPr>
              <w:t>1</w:t>
            </w:r>
            <w:r w:rsidR="008C4D25">
              <w:rPr>
                <w:rFonts w:cs="Arial"/>
                <w:b/>
                <w:bCs/>
                <w:sz w:val="20"/>
                <w:szCs w:val="20"/>
                <w:lang w:val="fi-FI"/>
              </w:rPr>
              <w:t>,</w:t>
            </w:r>
            <w:r w:rsidRPr="00747871">
              <w:rPr>
                <w:rFonts w:cs="Arial"/>
                <w:b/>
                <w:bCs/>
                <w:sz w:val="20"/>
                <w:szCs w:val="20"/>
                <w:lang w:val="fi-FI"/>
              </w:rPr>
              <w:t>391</w:t>
            </w:r>
          </w:p>
        </w:tc>
        <w:tc>
          <w:tcPr>
            <w:tcW w:w="1559" w:type="dxa"/>
            <w:vAlign w:val="bottom"/>
          </w:tcPr>
          <w:p w:rsidR="00C8450C" w:rsidRPr="00747871" w:rsidRDefault="00C8450C" w:rsidP="00237177">
            <w:pPr>
              <w:jc w:val="right"/>
              <w:rPr>
                <w:rFonts w:cs="Arial"/>
                <w:b/>
                <w:bCs/>
                <w:sz w:val="20"/>
                <w:szCs w:val="20"/>
                <w:lang w:val="fi-FI"/>
              </w:rPr>
            </w:pPr>
            <w:r w:rsidRPr="00747871">
              <w:rPr>
                <w:rFonts w:cs="Arial"/>
                <w:b/>
                <w:bCs/>
                <w:sz w:val="20"/>
                <w:szCs w:val="20"/>
                <w:lang w:val="fi-FI"/>
              </w:rPr>
              <w:t>20</w:t>
            </w:r>
          </w:p>
        </w:tc>
        <w:tc>
          <w:tcPr>
            <w:tcW w:w="1559" w:type="dxa"/>
            <w:vAlign w:val="bottom"/>
          </w:tcPr>
          <w:p w:rsidR="00C8450C" w:rsidRPr="00747871" w:rsidRDefault="00C8450C" w:rsidP="00237177">
            <w:pPr>
              <w:jc w:val="right"/>
              <w:rPr>
                <w:rFonts w:cs="Arial"/>
                <w:b/>
                <w:bCs/>
                <w:sz w:val="20"/>
                <w:szCs w:val="20"/>
                <w:lang w:val="fi-FI"/>
              </w:rPr>
            </w:pPr>
            <w:proofErr w:type="gramStart"/>
            <w:r w:rsidRPr="00747871">
              <w:rPr>
                <w:rFonts w:cs="Arial"/>
                <w:b/>
                <w:bCs/>
                <w:sz w:val="20"/>
                <w:szCs w:val="20"/>
                <w:lang w:val="fi-FI"/>
              </w:rPr>
              <w:t>-</w:t>
            </w:r>
            <w:proofErr w:type="gramEnd"/>
            <w:r w:rsidRPr="00747871">
              <w:rPr>
                <w:rFonts w:cs="Arial"/>
                <w:b/>
                <w:bCs/>
                <w:sz w:val="20"/>
                <w:szCs w:val="20"/>
                <w:lang w:val="fi-FI"/>
              </w:rPr>
              <w:t>741</w:t>
            </w:r>
          </w:p>
        </w:tc>
      </w:tr>
      <w:tr w:rsidR="00C8450C" w:rsidRPr="003E3697" w:rsidTr="00C8450C">
        <w:trPr>
          <w:trHeight w:val="225"/>
        </w:trPr>
        <w:tc>
          <w:tcPr>
            <w:tcW w:w="4994" w:type="dxa"/>
            <w:noWrap/>
          </w:tcPr>
          <w:p w:rsidR="00C8450C" w:rsidRPr="003E3697" w:rsidRDefault="00C8450C" w:rsidP="00F923C3">
            <w:pPr>
              <w:rPr>
                <w:rFonts w:cs="Arial"/>
                <w:sz w:val="20"/>
              </w:rPr>
            </w:pPr>
          </w:p>
        </w:tc>
        <w:tc>
          <w:tcPr>
            <w:tcW w:w="1418" w:type="dxa"/>
            <w:noWrap/>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r>
      <w:tr w:rsidR="00C8450C" w:rsidRPr="003E3697" w:rsidTr="00C8450C">
        <w:trPr>
          <w:trHeight w:val="225"/>
        </w:trPr>
        <w:tc>
          <w:tcPr>
            <w:tcW w:w="4994" w:type="dxa"/>
            <w:noWrap/>
          </w:tcPr>
          <w:p w:rsidR="00C8450C" w:rsidRPr="003E3697" w:rsidRDefault="00C8450C" w:rsidP="00F923C3">
            <w:pPr>
              <w:rPr>
                <w:rFonts w:cs="Arial"/>
                <w:sz w:val="20"/>
                <w:lang w:eastAsia="fi-FI"/>
              </w:rPr>
            </w:pPr>
            <w:r w:rsidRPr="003E3697">
              <w:rPr>
                <w:rFonts w:cs="Arial"/>
                <w:b/>
                <w:sz w:val="20"/>
                <w:lang w:eastAsia="fi-FI"/>
              </w:rPr>
              <w:t>Cash flow from investing activities</w:t>
            </w:r>
          </w:p>
        </w:tc>
        <w:tc>
          <w:tcPr>
            <w:tcW w:w="1418" w:type="dxa"/>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r>
      <w:tr w:rsidR="00C8450C" w:rsidRPr="003E3697" w:rsidTr="00237177">
        <w:trPr>
          <w:trHeight w:val="255"/>
        </w:trPr>
        <w:tc>
          <w:tcPr>
            <w:tcW w:w="4994" w:type="dxa"/>
            <w:noWrap/>
          </w:tcPr>
          <w:p w:rsidR="00C8450C" w:rsidRPr="003E3697" w:rsidRDefault="00C8450C" w:rsidP="00F923C3">
            <w:pPr>
              <w:rPr>
                <w:rFonts w:cs="Arial"/>
                <w:sz w:val="20"/>
                <w:lang w:eastAsia="fi-FI"/>
              </w:rPr>
            </w:pPr>
            <w:r w:rsidRPr="003E3697">
              <w:rPr>
                <w:rFonts w:cs="Arial"/>
                <w:sz w:val="20"/>
                <w:lang w:eastAsia="fi-FI"/>
              </w:rPr>
              <w:t>Capital expenditure on tangible and intangible assets</w:t>
            </w:r>
          </w:p>
        </w:tc>
        <w:tc>
          <w:tcPr>
            <w:tcW w:w="1418"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728</w:t>
            </w:r>
          </w:p>
        </w:tc>
        <w:tc>
          <w:tcPr>
            <w:tcW w:w="1559"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16</w:t>
            </w:r>
          </w:p>
        </w:tc>
        <w:tc>
          <w:tcPr>
            <w:tcW w:w="1559"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201</w:t>
            </w:r>
          </w:p>
        </w:tc>
      </w:tr>
      <w:tr w:rsidR="00C8450C" w:rsidRPr="003E3697" w:rsidTr="00237177">
        <w:trPr>
          <w:trHeight w:val="255"/>
        </w:trPr>
        <w:tc>
          <w:tcPr>
            <w:tcW w:w="4994" w:type="dxa"/>
            <w:noWrap/>
          </w:tcPr>
          <w:p w:rsidR="00C8450C" w:rsidRPr="003E3697" w:rsidRDefault="00C8450C" w:rsidP="00F923C3">
            <w:pPr>
              <w:rPr>
                <w:rFonts w:cs="Arial"/>
                <w:sz w:val="20"/>
                <w:lang w:eastAsia="fi-FI"/>
              </w:rPr>
            </w:pPr>
            <w:r w:rsidRPr="003E3697">
              <w:rPr>
                <w:rFonts w:cs="Arial"/>
                <w:sz w:val="20"/>
                <w:lang w:eastAsia="fi-FI"/>
              </w:rPr>
              <w:t>Proceeds from sale of tangible and intangible assets</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209</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229</w:t>
            </w:r>
          </w:p>
        </w:tc>
      </w:tr>
      <w:tr w:rsidR="00C8450C" w:rsidRPr="003E3697" w:rsidTr="00237177">
        <w:trPr>
          <w:trHeight w:val="255"/>
        </w:trPr>
        <w:tc>
          <w:tcPr>
            <w:tcW w:w="4994" w:type="dxa"/>
            <w:noWrap/>
          </w:tcPr>
          <w:p w:rsidR="00C8450C" w:rsidRPr="003E3697" w:rsidRDefault="00C8450C" w:rsidP="00F923C3">
            <w:pPr>
              <w:rPr>
                <w:rFonts w:cs="Arial"/>
                <w:sz w:val="20"/>
                <w:lang w:eastAsia="fi-FI"/>
              </w:rPr>
            </w:pPr>
            <w:r w:rsidRPr="003E3697">
              <w:rPr>
                <w:rFonts w:cs="Arial"/>
                <w:sz w:val="20"/>
                <w:lang w:eastAsia="fi-FI"/>
              </w:rPr>
              <w:t>Other investments</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r>
      <w:tr w:rsidR="00C8450C" w:rsidRPr="003E3697" w:rsidTr="00237177">
        <w:trPr>
          <w:trHeight w:val="255"/>
        </w:trPr>
        <w:tc>
          <w:tcPr>
            <w:tcW w:w="4994" w:type="dxa"/>
            <w:noWrap/>
          </w:tcPr>
          <w:p w:rsidR="00C8450C" w:rsidRPr="003E3697" w:rsidRDefault="00C8450C" w:rsidP="00F923C3">
            <w:pPr>
              <w:rPr>
                <w:rFonts w:cs="Arial"/>
                <w:sz w:val="20"/>
                <w:lang w:eastAsia="fi-FI"/>
              </w:rPr>
            </w:pPr>
            <w:r w:rsidRPr="003E3697">
              <w:rPr>
                <w:rFonts w:cs="Arial"/>
                <w:sz w:val="20"/>
                <w:lang w:eastAsia="fi-FI"/>
              </w:rPr>
              <w:t>Loans granted</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r>
      <w:tr w:rsidR="00C8450C" w:rsidRPr="003E3697" w:rsidTr="00237177">
        <w:trPr>
          <w:trHeight w:val="255"/>
        </w:trPr>
        <w:tc>
          <w:tcPr>
            <w:tcW w:w="4994" w:type="dxa"/>
            <w:noWrap/>
          </w:tcPr>
          <w:p w:rsidR="00C8450C" w:rsidRPr="003E3697" w:rsidRDefault="00C8450C" w:rsidP="00F923C3">
            <w:pPr>
              <w:rPr>
                <w:rFonts w:cs="Arial"/>
                <w:sz w:val="20"/>
                <w:lang w:eastAsia="fi-FI"/>
              </w:rPr>
            </w:pPr>
            <w:r w:rsidRPr="003E3697">
              <w:rPr>
                <w:rFonts w:cs="Arial"/>
                <w:sz w:val="20"/>
                <w:lang w:eastAsia="fi-FI"/>
              </w:rPr>
              <w:t>Sold shares of subsidiary</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r>
      <w:tr w:rsidR="00C8450C" w:rsidRPr="003E3697" w:rsidTr="00237177">
        <w:trPr>
          <w:trHeight w:val="255"/>
        </w:trPr>
        <w:tc>
          <w:tcPr>
            <w:tcW w:w="4994" w:type="dxa"/>
            <w:noWrap/>
          </w:tcPr>
          <w:p w:rsidR="00C8450C" w:rsidRPr="003E3697" w:rsidRDefault="00C8450C" w:rsidP="00F923C3">
            <w:pPr>
              <w:rPr>
                <w:rFonts w:cs="Arial"/>
                <w:bCs/>
                <w:sz w:val="20"/>
              </w:rPr>
            </w:pPr>
            <w:r w:rsidRPr="003E3697">
              <w:rPr>
                <w:rFonts w:cs="Arial"/>
                <w:bCs/>
                <w:sz w:val="20"/>
              </w:rPr>
              <w:t>Repayments of loan assets</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r>
      <w:tr w:rsidR="00C8450C" w:rsidRPr="003E3697" w:rsidTr="00237177">
        <w:trPr>
          <w:trHeight w:val="255"/>
        </w:trPr>
        <w:tc>
          <w:tcPr>
            <w:tcW w:w="4994" w:type="dxa"/>
            <w:noWrap/>
          </w:tcPr>
          <w:p w:rsidR="00C8450C" w:rsidRPr="003E3697" w:rsidRDefault="00C8450C" w:rsidP="00F923C3">
            <w:pPr>
              <w:rPr>
                <w:rFonts w:cs="Arial"/>
                <w:sz w:val="20"/>
              </w:rPr>
            </w:pPr>
            <w:r w:rsidRPr="003E3697">
              <w:rPr>
                <w:rFonts w:cs="Arial"/>
                <w:b/>
                <w:sz w:val="20"/>
              </w:rPr>
              <w:t>Cash flow from investing activities</w:t>
            </w:r>
          </w:p>
        </w:tc>
        <w:tc>
          <w:tcPr>
            <w:tcW w:w="1418" w:type="dxa"/>
            <w:vAlign w:val="bottom"/>
          </w:tcPr>
          <w:p w:rsidR="00C8450C" w:rsidRPr="00747871" w:rsidRDefault="00C8450C" w:rsidP="00237177">
            <w:pPr>
              <w:jc w:val="right"/>
              <w:rPr>
                <w:rFonts w:cs="Arial"/>
                <w:b/>
                <w:bCs/>
                <w:sz w:val="20"/>
                <w:szCs w:val="20"/>
                <w:lang w:val="fi-FI"/>
              </w:rPr>
            </w:pPr>
            <w:proofErr w:type="gramStart"/>
            <w:r w:rsidRPr="00747871">
              <w:rPr>
                <w:rFonts w:cs="Arial"/>
                <w:b/>
                <w:bCs/>
                <w:sz w:val="20"/>
                <w:szCs w:val="20"/>
                <w:lang w:val="fi-FI"/>
              </w:rPr>
              <w:t>-</w:t>
            </w:r>
            <w:proofErr w:type="gramEnd"/>
            <w:r w:rsidRPr="00747871">
              <w:rPr>
                <w:rFonts w:cs="Arial"/>
                <w:b/>
                <w:bCs/>
                <w:sz w:val="20"/>
                <w:szCs w:val="20"/>
                <w:lang w:val="fi-FI"/>
              </w:rPr>
              <w:t>728</w:t>
            </w:r>
          </w:p>
        </w:tc>
        <w:tc>
          <w:tcPr>
            <w:tcW w:w="1559" w:type="dxa"/>
            <w:vAlign w:val="bottom"/>
          </w:tcPr>
          <w:p w:rsidR="00C8450C" w:rsidRPr="00747871" w:rsidRDefault="00C8450C" w:rsidP="00237177">
            <w:pPr>
              <w:jc w:val="right"/>
              <w:rPr>
                <w:rFonts w:cs="Arial"/>
                <w:b/>
                <w:bCs/>
                <w:sz w:val="20"/>
                <w:szCs w:val="20"/>
                <w:lang w:val="fi-FI"/>
              </w:rPr>
            </w:pPr>
            <w:r w:rsidRPr="00747871">
              <w:rPr>
                <w:rFonts w:cs="Arial"/>
                <w:b/>
                <w:bCs/>
                <w:sz w:val="20"/>
                <w:szCs w:val="20"/>
                <w:lang w:val="fi-FI"/>
              </w:rPr>
              <w:t>193</w:t>
            </w:r>
          </w:p>
        </w:tc>
        <w:tc>
          <w:tcPr>
            <w:tcW w:w="1559" w:type="dxa"/>
            <w:vAlign w:val="bottom"/>
          </w:tcPr>
          <w:p w:rsidR="00C8450C" w:rsidRPr="00747871" w:rsidRDefault="00C8450C" w:rsidP="00237177">
            <w:pPr>
              <w:jc w:val="right"/>
              <w:rPr>
                <w:rFonts w:cs="Arial"/>
                <w:b/>
                <w:bCs/>
                <w:sz w:val="20"/>
                <w:szCs w:val="20"/>
                <w:lang w:val="fi-FI"/>
              </w:rPr>
            </w:pPr>
            <w:r w:rsidRPr="00747871">
              <w:rPr>
                <w:rFonts w:cs="Arial"/>
                <w:b/>
                <w:bCs/>
                <w:sz w:val="20"/>
                <w:szCs w:val="20"/>
                <w:lang w:val="fi-FI"/>
              </w:rPr>
              <w:t>28</w:t>
            </w:r>
          </w:p>
        </w:tc>
      </w:tr>
      <w:tr w:rsidR="00C8450C" w:rsidRPr="003E3697" w:rsidTr="00C8450C">
        <w:trPr>
          <w:trHeight w:val="255"/>
        </w:trPr>
        <w:tc>
          <w:tcPr>
            <w:tcW w:w="4994" w:type="dxa"/>
            <w:noWrap/>
          </w:tcPr>
          <w:p w:rsidR="00C8450C" w:rsidRPr="003E3697" w:rsidRDefault="00C8450C" w:rsidP="00F923C3">
            <w:pPr>
              <w:jc w:val="right"/>
              <w:rPr>
                <w:rFonts w:cs="Arial"/>
                <w:sz w:val="20"/>
              </w:rPr>
            </w:pPr>
          </w:p>
        </w:tc>
        <w:tc>
          <w:tcPr>
            <w:tcW w:w="1418" w:type="dxa"/>
            <w:noWrap/>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r>
      <w:tr w:rsidR="00C8450C" w:rsidRPr="003E3697" w:rsidTr="00C8450C">
        <w:trPr>
          <w:trHeight w:val="225"/>
        </w:trPr>
        <w:tc>
          <w:tcPr>
            <w:tcW w:w="4994" w:type="dxa"/>
            <w:noWrap/>
          </w:tcPr>
          <w:p w:rsidR="00C8450C" w:rsidRPr="003E3697" w:rsidRDefault="00C8450C" w:rsidP="00F923C3">
            <w:pPr>
              <w:rPr>
                <w:rFonts w:cs="Arial"/>
                <w:sz w:val="20"/>
                <w:lang w:eastAsia="fi-FI"/>
              </w:rPr>
            </w:pPr>
            <w:r w:rsidRPr="003E3697">
              <w:rPr>
                <w:rFonts w:cs="Arial"/>
                <w:b/>
                <w:sz w:val="20"/>
                <w:lang w:eastAsia="fi-FI"/>
              </w:rPr>
              <w:t>Cash flow from financing activities</w:t>
            </w:r>
          </w:p>
        </w:tc>
        <w:tc>
          <w:tcPr>
            <w:tcW w:w="1418" w:type="dxa"/>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r>
      <w:tr w:rsidR="00C8450C" w:rsidRPr="003E3697" w:rsidTr="00237177">
        <w:trPr>
          <w:trHeight w:val="225"/>
        </w:trPr>
        <w:tc>
          <w:tcPr>
            <w:tcW w:w="4994" w:type="dxa"/>
            <w:noWrap/>
          </w:tcPr>
          <w:p w:rsidR="00C8450C" w:rsidRPr="003E3697" w:rsidRDefault="00C8450C" w:rsidP="00F923C3">
            <w:pPr>
              <w:rPr>
                <w:rFonts w:cs="Arial"/>
                <w:sz w:val="20"/>
                <w:lang w:eastAsia="fi-FI"/>
              </w:rPr>
            </w:pPr>
            <w:r w:rsidRPr="003E3697">
              <w:rPr>
                <w:rFonts w:cs="Arial"/>
                <w:sz w:val="20"/>
                <w:lang w:eastAsia="fi-FI"/>
              </w:rPr>
              <w:t>Proceeds from share issue</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2</w:t>
            </w:r>
            <w:r w:rsidR="008C4D25">
              <w:rPr>
                <w:rFonts w:cs="Arial"/>
                <w:sz w:val="20"/>
                <w:szCs w:val="20"/>
                <w:lang w:val="fi-FI"/>
              </w:rPr>
              <w:t>,</w:t>
            </w:r>
            <w:r w:rsidRPr="00747871">
              <w:rPr>
                <w:rFonts w:cs="Arial"/>
                <w:sz w:val="20"/>
                <w:szCs w:val="20"/>
                <w:lang w:val="fi-FI"/>
              </w:rPr>
              <w:t>182</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r>
      <w:tr w:rsidR="00C8450C" w:rsidRPr="003E3697" w:rsidTr="00237177">
        <w:trPr>
          <w:trHeight w:val="225"/>
        </w:trPr>
        <w:tc>
          <w:tcPr>
            <w:tcW w:w="4994" w:type="dxa"/>
            <w:noWrap/>
          </w:tcPr>
          <w:p w:rsidR="00C8450C" w:rsidRPr="003E3697" w:rsidRDefault="00C8450C" w:rsidP="00F923C3">
            <w:pPr>
              <w:rPr>
                <w:rFonts w:cs="Arial"/>
                <w:sz w:val="20"/>
                <w:lang w:eastAsia="fi-FI"/>
              </w:rPr>
            </w:pPr>
            <w:r w:rsidRPr="003E3697">
              <w:rPr>
                <w:rFonts w:cs="Arial"/>
                <w:sz w:val="20"/>
                <w:lang w:eastAsia="fi-FI"/>
              </w:rPr>
              <w:t>Drawdown of loans</w:t>
            </w:r>
          </w:p>
        </w:tc>
        <w:tc>
          <w:tcPr>
            <w:tcW w:w="1418"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0</w:t>
            </w:r>
          </w:p>
        </w:tc>
        <w:tc>
          <w:tcPr>
            <w:tcW w:w="1559" w:type="dxa"/>
            <w:vAlign w:val="bottom"/>
          </w:tcPr>
          <w:p w:rsidR="00C8450C" w:rsidRPr="00747871" w:rsidRDefault="00C8450C" w:rsidP="00237177">
            <w:pPr>
              <w:jc w:val="right"/>
              <w:rPr>
                <w:rFonts w:cs="Arial"/>
                <w:sz w:val="20"/>
                <w:szCs w:val="20"/>
                <w:lang w:val="fi-FI"/>
              </w:rPr>
            </w:pPr>
            <w:r w:rsidRPr="00747871">
              <w:rPr>
                <w:rFonts w:cs="Arial"/>
                <w:sz w:val="20"/>
                <w:szCs w:val="20"/>
                <w:lang w:val="fi-FI"/>
              </w:rPr>
              <w:t>2</w:t>
            </w:r>
            <w:r w:rsidR="008C4D25">
              <w:rPr>
                <w:rFonts w:cs="Arial"/>
                <w:sz w:val="20"/>
                <w:szCs w:val="20"/>
                <w:lang w:val="fi-FI"/>
              </w:rPr>
              <w:t>,</w:t>
            </w:r>
            <w:r w:rsidRPr="00747871">
              <w:rPr>
                <w:rFonts w:cs="Arial"/>
                <w:sz w:val="20"/>
                <w:szCs w:val="20"/>
                <w:lang w:val="fi-FI"/>
              </w:rPr>
              <w:t>381</w:t>
            </w:r>
          </w:p>
        </w:tc>
      </w:tr>
      <w:tr w:rsidR="00C8450C" w:rsidRPr="003E3697" w:rsidTr="00237177">
        <w:trPr>
          <w:trHeight w:val="225"/>
        </w:trPr>
        <w:tc>
          <w:tcPr>
            <w:tcW w:w="4994" w:type="dxa"/>
            <w:noWrap/>
          </w:tcPr>
          <w:p w:rsidR="00C8450C" w:rsidRPr="003E3697" w:rsidRDefault="00C8450C" w:rsidP="00F923C3">
            <w:pPr>
              <w:rPr>
                <w:rFonts w:cs="Arial"/>
                <w:sz w:val="20"/>
                <w:lang w:eastAsia="fi-FI"/>
              </w:rPr>
            </w:pPr>
            <w:r w:rsidRPr="003E3697">
              <w:rPr>
                <w:rFonts w:cs="Arial"/>
                <w:sz w:val="20"/>
                <w:lang w:eastAsia="fi-FI"/>
              </w:rPr>
              <w:t>Repayments of borrowings</w:t>
            </w:r>
          </w:p>
        </w:tc>
        <w:tc>
          <w:tcPr>
            <w:tcW w:w="1418"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2</w:t>
            </w:r>
            <w:r w:rsidR="008C4D25">
              <w:rPr>
                <w:rFonts w:cs="Arial"/>
                <w:sz w:val="20"/>
                <w:szCs w:val="20"/>
                <w:lang w:val="fi-FI"/>
              </w:rPr>
              <w:t>,</w:t>
            </w:r>
            <w:r w:rsidRPr="00747871">
              <w:rPr>
                <w:rFonts w:cs="Arial"/>
                <w:sz w:val="20"/>
                <w:szCs w:val="20"/>
                <w:lang w:val="fi-FI"/>
              </w:rPr>
              <w:t>127</w:t>
            </w:r>
          </w:p>
        </w:tc>
        <w:tc>
          <w:tcPr>
            <w:tcW w:w="1559"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715</w:t>
            </w:r>
          </w:p>
        </w:tc>
        <w:tc>
          <w:tcPr>
            <w:tcW w:w="1559" w:type="dxa"/>
            <w:vAlign w:val="bottom"/>
          </w:tcPr>
          <w:p w:rsidR="00C8450C" w:rsidRPr="00747871" w:rsidRDefault="00C8450C"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1</w:t>
            </w:r>
            <w:r w:rsidR="008C4D25">
              <w:rPr>
                <w:rFonts w:cs="Arial"/>
                <w:sz w:val="20"/>
                <w:szCs w:val="20"/>
                <w:lang w:val="fi-FI"/>
              </w:rPr>
              <w:t>,</w:t>
            </w:r>
            <w:r w:rsidRPr="00747871">
              <w:rPr>
                <w:rFonts w:cs="Arial"/>
                <w:sz w:val="20"/>
                <w:szCs w:val="20"/>
                <w:lang w:val="fi-FI"/>
              </w:rPr>
              <w:t>434</w:t>
            </w:r>
          </w:p>
        </w:tc>
      </w:tr>
      <w:tr w:rsidR="000E653B" w:rsidRPr="003E3697" w:rsidTr="00B64233">
        <w:trPr>
          <w:trHeight w:val="225"/>
        </w:trPr>
        <w:tc>
          <w:tcPr>
            <w:tcW w:w="4994" w:type="dxa"/>
            <w:noWrap/>
          </w:tcPr>
          <w:p w:rsidR="000E653B" w:rsidRPr="003E3697" w:rsidRDefault="000E653B" w:rsidP="00F923C3">
            <w:pPr>
              <w:rPr>
                <w:rFonts w:cs="Arial"/>
                <w:sz w:val="20"/>
                <w:lang w:eastAsia="fi-FI"/>
              </w:rPr>
            </w:pPr>
            <w:r>
              <w:rPr>
                <w:rFonts w:cs="Arial"/>
                <w:sz w:val="20"/>
                <w:lang w:eastAsia="fi-FI"/>
              </w:rPr>
              <w:t>Tax</w:t>
            </w:r>
          </w:p>
        </w:tc>
        <w:tc>
          <w:tcPr>
            <w:tcW w:w="1418" w:type="dxa"/>
            <w:vAlign w:val="bottom"/>
          </w:tcPr>
          <w:p w:rsidR="000E653B" w:rsidRPr="00747871" w:rsidRDefault="000E653B" w:rsidP="00237177">
            <w:pPr>
              <w:jc w:val="right"/>
              <w:rPr>
                <w:rFonts w:cs="Arial"/>
                <w:sz w:val="20"/>
                <w:szCs w:val="20"/>
                <w:lang w:val="fi-FI"/>
              </w:rPr>
            </w:pPr>
            <w:proofErr w:type="gramStart"/>
            <w:r>
              <w:rPr>
                <w:rFonts w:cs="Arial"/>
                <w:sz w:val="20"/>
                <w:szCs w:val="20"/>
                <w:lang w:val="fi-FI"/>
              </w:rPr>
              <w:t>-</w:t>
            </w:r>
            <w:proofErr w:type="gramEnd"/>
            <w:r>
              <w:rPr>
                <w:rFonts w:cs="Arial"/>
                <w:sz w:val="20"/>
                <w:szCs w:val="20"/>
                <w:lang w:val="fi-FI"/>
              </w:rPr>
              <w:t>36</w:t>
            </w:r>
          </w:p>
        </w:tc>
        <w:tc>
          <w:tcPr>
            <w:tcW w:w="1559" w:type="dxa"/>
            <w:vAlign w:val="bottom"/>
          </w:tcPr>
          <w:p w:rsidR="000E653B" w:rsidRPr="00747871" w:rsidRDefault="000E653B" w:rsidP="000E653B">
            <w:pPr>
              <w:jc w:val="right"/>
              <w:rPr>
                <w:rFonts w:cs="Arial"/>
                <w:sz w:val="20"/>
                <w:szCs w:val="20"/>
                <w:lang w:val="fi-FI"/>
              </w:rPr>
            </w:pPr>
            <w:r>
              <w:rPr>
                <w:rFonts w:cs="Arial"/>
                <w:sz w:val="20"/>
                <w:szCs w:val="20"/>
                <w:lang w:val="fi-FI"/>
              </w:rPr>
              <w:t>0</w:t>
            </w:r>
          </w:p>
        </w:tc>
        <w:tc>
          <w:tcPr>
            <w:tcW w:w="1559" w:type="dxa"/>
            <w:vAlign w:val="bottom"/>
          </w:tcPr>
          <w:p w:rsidR="000E653B" w:rsidRPr="00747871" w:rsidRDefault="000E653B" w:rsidP="000E653B">
            <w:pPr>
              <w:jc w:val="right"/>
              <w:rPr>
                <w:rFonts w:cs="Arial"/>
                <w:sz w:val="20"/>
                <w:szCs w:val="20"/>
                <w:lang w:val="fi-FI"/>
              </w:rPr>
            </w:pPr>
            <w:r>
              <w:rPr>
                <w:rFonts w:cs="Arial"/>
                <w:sz w:val="20"/>
                <w:szCs w:val="20"/>
                <w:lang w:val="fi-FI"/>
              </w:rPr>
              <w:t>0</w:t>
            </w:r>
          </w:p>
        </w:tc>
      </w:tr>
      <w:tr w:rsidR="00C8450C" w:rsidRPr="003E3697" w:rsidTr="00BD14A6">
        <w:trPr>
          <w:trHeight w:val="225"/>
        </w:trPr>
        <w:tc>
          <w:tcPr>
            <w:tcW w:w="4994" w:type="dxa"/>
            <w:noWrap/>
          </w:tcPr>
          <w:p w:rsidR="00C8450C" w:rsidRPr="003E3697" w:rsidRDefault="00C8450C" w:rsidP="00F923C3">
            <w:pPr>
              <w:rPr>
                <w:rFonts w:cs="Arial"/>
                <w:sz w:val="20"/>
                <w:lang w:eastAsia="fi-FI"/>
              </w:rPr>
            </w:pPr>
            <w:r w:rsidRPr="003E3697">
              <w:rPr>
                <w:rFonts w:cs="Arial"/>
                <w:sz w:val="20"/>
                <w:lang w:eastAsia="fi-FI"/>
              </w:rPr>
              <w:t>Repayments of obligations under finance leases</w:t>
            </w:r>
          </w:p>
        </w:tc>
        <w:tc>
          <w:tcPr>
            <w:tcW w:w="1418" w:type="dxa"/>
            <w:vAlign w:val="bottom"/>
          </w:tcPr>
          <w:p w:rsidR="00C8450C" w:rsidRPr="00747871" w:rsidRDefault="000E653B" w:rsidP="000E653B">
            <w:pPr>
              <w:jc w:val="right"/>
              <w:rPr>
                <w:rFonts w:cs="Arial"/>
                <w:sz w:val="20"/>
                <w:szCs w:val="20"/>
                <w:lang w:val="fi-FI"/>
              </w:rPr>
            </w:pPr>
            <w:r>
              <w:rPr>
                <w:rFonts w:cs="Arial"/>
                <w:sz w:val="20"/>
                <w:szCs w:val="20"/>
                <w:lang w:val="fi-FI"/>
              </w:rPr>
              <w:t>0</w:t>
            </w:r>
          </w:p>
        </w:tc>
        <w:tc>
          <w:tcPr>
            <w:tcW w:w="1559" w:type="dxa"/>
            <w:vAlign w:val="bottom"/>
          </w:tcPr>
          <w:p w:rsidR="00C8450C" w:rsidRPr="00747871" w:rsidRDefault="000E653B" w:rsidP="000E653B">
            <w:pPr>
              <w:jc w:val="right"/>
              <w:rPr>
                <w:rFonts w:cs="Arial"/>
                <w:sz w:val="20"/>
                <w:szCs w:val="20"/>
                <w:lang w:val="fi-FI"/>
              </w:rPr>
            </w:pPr>
            <w:proofErr w:type="gramStart"/>
            <w:r>
              <w:rPr>
                <w:rFonts w:cs="Arial"/>
                <w:sz w:val="20"/>
                <w:szCs w:val="20"/>
                <w:lang w:val="fi-FI"/>
              </w:rPr>
              <w:t>-</w:t>
            </w:r>
            <w:proofErr w:type="gramEnd"/>
            <w:r>
              <w:rPr>
                <w:rFonts w:cs="Arial"/>
                <w:sz w:val="20"/>
                <w:szCs w:val="20"/>
                <w:lang w:val="fi-FI"/>
              </w:rPr>
              <w:t>12</w:t>
            </w:r>
          </w:p>
        </w:tc>
        <w:tc>
          <w:tcPr>
            <w:tcW w:w="1559" w:type="dxa"/>
            <w:vAlign w:val="bottom"/>
          </w:tcPr>
          <w:p w:rsidR="00C8450C" w:rsidRPr="00747871" w:rsidRDefault="00BD14A6" w:rsidP="000E653B">
            <w:pPr>
              <w:jc w:val="right"/>
              <w:rPr>
                <w:rFonts w:cs="Arial"/>
                <w:sz w:val="20"/>
                <w:szCs w:val="20"/>
                <w:lang w:val="fi-FI"/>
              </w:rPr>
            </w:pPr>
            <w:proofErr w:type="gramStart"/>
            <w:r>
              <w:rPr>
                <w:rFonts w:cs="Arial"/>
                <w:sz w:val="20"/>
                <w:szCs w:val="20"/>
                <w:lang w:val="fi-FI"/>
              </w:rPr>
              <w:t>-</w:t>
            </w:r>
            <w:proofErr w:type="gramEnd"/>
            <w:r>
              <w:rPr>
                <w:rFonts w:cs="Arial"/>
                <w:sz w:val="20"/>
                <w:szCs w:val="20"/>
                <w:lang w:val="fi-FI"/>
              </w:rPr>
              <w:t>26</w:t>
            </w:r>
          </w:p>
        </w:tc>
      </w:tr>
      <w:tr w:rsidR="00C8450C" w:rsidRPr="003E3697" w:rsidTr="00237177">
        <w:trPr>
          <w:trHeight w:val="225"/>
        </w:trPr>
        <w:tc>
          <w:tcPr>
            <w:tcW w:w="4994" w:type="dxa"/>
            <w:noWrap/>
          </w:tcPr>
          <w:p w:rsidR="00C8450C" w:rsidRPr="003E3697" w:rsidRDefault="00C8450C" w:rsidP="00F923C3">
            <w:pPr>
              <w:rPr>
                <w:rFonts w:cs="Arial"/>
                <w:sz w:val="20"/>
                <w:lang w:eastAsia="fi-FI"/>
              </w:rPr>
            </w:pPr>
            <w:r w:rsidRPr="003E3697">
              <w:rPr>
                <w:rFonts w:cs="Arial"/>
                <w:b/>
                <w:sz w:val="20"/>
                <w:lang w:eastAsia="fi-FI"/>
              </w:rPr>
              <w:t>Cash flow from financing activities</w:t>
            </w:r>
          </w:p>
        </w:tc>
        <w:tc>
          <w:tcPr>
            <w:tcW w:w="1418" w:type="dxa"/>
            <w:vAlign w:val="bottom"/>
          </w:tcPr>
          <w:p w:rsidR="00C8450C" w:rsidRPr="00747871" w:rsidRDefault="00C8450C" w:rsidP="00237177">
            <w:pPr>
              <w:jc w:val="right"/>
              <w:rPr>
                <w:rFonts w:cs="Arial"/>
                <w:b/>
                <w:bCs/>
                <w:sz w:val="20"/>
                <w:szCs w:val="20"/>
                <w:lang w:val="fi-FI"/>
              </w:rPr>
            </w:pPr>
            <w:r w:rsidRPr="00747871">
              <w:rPr>
                <w:rFonts w:cs="Arial"/>
                <w:b/>
                <w:bCs/>
                <w:sz w:val="20"/>
                <w:szCs w:val="20"/>
                <w:lang w:val="fi-FI"/>
              </w:rPr>
              <w:t>20</w:t>
            </w:r>
          </w:p>
        </w:tc>
        <w:tc>
          <w:tcPr>
            <w:tcW w:w="1559" w:type="dxa"/>
            <w:vAlign w:val="bottom"/>
          </w:tcPr>
          <w:p w:rsidR="00C8450C" w:rsidRPr="00747871" w:rsidRDefault="00C8450C" w:rsidP="00237177">
            <w:pPr>
              <w:jc w:val="right"/>
              <w:rPr>
                <w:rFonts w:cs="Arial"/>
                <w:b/>
                <w:bCs/>
                <w:sz w:val="20"/>
                <w:szCs w:val="20"/>
                <w:lang w:val="fi-FI"/>
              </w:rPr>
            </w:pPr>
            <w:proofErr w:type="gramStart"/>
            <w:r w:rsidRPr="00747871">
              <w:rPr>
                <w:rFonts w:cs="Arial"/>
                <w:b/>
                <w:bCs/>
                <w:sz w:val="20"/>
                <w:szCs w:val="20"/>
                <w:lang w:val="fi-FI"/>
              </w:rPr>
              <w:t>-</w:t>
            </w:r>
            <w:proofErr w:type="gramEnd"/>
            <w:r w:rsidRPr="00747871">
              <w:rPr>
                <w:rFonts w:cs="Arial"/>
                <w:b/>
                <w:bCs/>
                <w:sz w:val="20"/>
                <w:szCs w:val="20"/>
                <w:lang w:val="fi-FI"/>
              </w:rPr>
              <w:t>727</w:t>
            </w:r>
          </w:p>
        </w:tc>
        <w:tc>
          <w:tcPr>
            <w:tcW w:w="1559" w:type="dxa"/>
            <w:vAlign w:val="bottom"/>
          </w:tcPr>
          <w:p w:rsidR="00C8450C" w:rsidRPr="00747871" w:rsidRDefault="00C8450C" w:rsidP="00237177">
            <w:pPr>
              <w:jc w:val="right"/>
              <w:rPr>
                <w:rFonts w:cs="Arial"/>
                <w:b/>
                <w:bCs/>
                <w:sz w:val="20"/>
                <w:szCs w:val="20"/>
                <w:lang w:val="fi-FI"/>
              </w:rPr>
            </w:pPr>
            <w:r w:rsidRPr="00747871">
              <w:rPr>
                <w:rFonts w:cs="Arial"/>
                <w:b/>
                <w:bCs/>
                <w:sz w:val="20"/>
                <w:szCs w:val="20"/>
                <w:lang w:val="fi-FI"/>
              </w:rPr>
              <w:t>920</w:t>
            </w:r>
          </w:p>
        </w:tc>
      </w:tr>
      <w:tr w:rsidR="00C8450C" w:rsidRPr="003E3697" w:rsidTr="00C8450C">
        <w:trPr>
          <w:trHeight w:val="225"/>
        </w:trPr>
        <w:tc>
          <w:tcPr>
            <w:tcW w:w="4994" w:type="dxa"/>
            <w:noWrap/>
          </w:tcPr>
          <w:p w:rsidR="00C8450C" w:rsidRPr="003E3697" w:rsidRDefault="00C8450C" w:rsidP="00F923C3">
            <w:pPr>
              <w:jc w:val="right"/>
              <w:rPr>
                <w:rFonts w:cs="Arial"/>
                <w:sz w:val="20"/>
              </w:rPr>
            </w:pPr>
          </w:p>
        </w:tc>
        <w:tc>
          <w:tcPr>
            <w:tcW w:w="1418" w:type="dxa"/>
            <w:noWrap/>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r>
      <w:tr w:rsidR="00237177" w:rsidRPr="003E3697" w:rsidTr="00237177">
        <w:trPr>
          <w:trHeight w:val="225"/>
        </w:trPr>
        <w:tc>
          <w:tcPr>
            <w:tcW w:w="4994" w:type="dxa"/>
            <w:noWrap/>
          </w:tcPr>
          <w:p w:rsidR="00237177" w:rsidRPr="00237177" w:rsidRDefault="00237177" w:rsidP="00F923C3">
            <w:pPr>
              <w:rPr>
                <w:rFonts w:cs="Arial"/>
                <w:sz w:val="20"/>
                <w:lang w:eastAsia="fi-FI"/>
              </w:rPr>
            </w:pPr>
            <w:r w:rsidRPr="00237177">
              <w:rPr>
                <w:rFonts w:cs="Arial"/>
                <w:sz w:val="20"/>
                <w:lang w:eastAsia="fi-FI"/>
              </w:rPr>
              <w:t>Change in cash and cash equivalents</w:t>
            </w:r>
          </w:p>
        </w:tc>
        <w:tc>
          <w:tcPr>
            <w:tcW w:w="1418" w:type="dxa"/>
            <w:vAlign w:val="bottom"/>
          </w:tcPr>
          <w:p w:rsidR="00237177" w:rsidRPr="00FD0839" w:rsidRDefault="00237177" w:rsidP="00237177">
            <w:pPr>
              <w:jc w:val="right"/>
              <w:rPr>
                <w:rFonts w:cs="Arial"/>
                <w:b/>
                <w:bCs/>
                <w:sz w:val="20"/>
                <w:szCs w:val="20"/>
              </w:rPr>
            </w:pPr>
            <w:r w:rsidRPr="00FD0839">
              <w:rPr>
                <w:rFonts w:cs="Arial"/>
                <w:b/>
                <w:bCs/>
                <w:sz w:val="20"/>
                <w:szCs w:val="20"/>
              </w:rPr>
              <w:t>683</w:t>
            </w:r>
          </w:p>
        </w:tc>
        <w:tc>
          <w:tcPr>
            <w:tcW w:w="1559" w:type="dxa"/>
            <w:vAlign w:val="bottom"/>
          </w:tcPr>
          <w:p w:rsidR="00237177" w:rsidRPr="00FD0839" w:rsidRDefault="00237177" w:rsidP="00237177">
            <w:pPr>
              <w:jc w:val="right"/>
              <w:rPr>
                <w:rFonts w:cs="Arial"/>
                <w:b/>
                <w:bCs/>
                <w:sz w:val="20"/>
                <w:szCs w:val="20"/>
              </w:rPr>
            </w:pPr>
            <w:r w:rsidRPr="00FD0839">
              <w:rPr>
                <w:rFonts w:cs="Arial"/>
                <w:b/>
                <w:bCs/>
                <w:sz w:val="20"/>
                <w:szCs w:val="20"/>
              </w:rPr>
              <w:t>-549</w:t>
            </w:r>
          </w:p>
        </w:tc>
        <w:tc>
          <w:tcPr>
            <w:tcW w:w="1559" w:type="dxa"/>
            <w:vAlign w:val="bottom"/>
          </w:tcPr>
          <w:p w:rsidR="00237177" w:rsidRPr="00FD0839" w:rsidRDefault="00237177" w:rsidP="00237177">
            <w:pPr>
              <w:jc w:val="right"/>
              <w:rPr>
                <w:rFonts w:cs="Arial"/>
                <w:b/>
                <w:bCs/>
                <w:sz w:val="20"/>
                <w:szCs w:val="20"/>
              </w:rPr>
            </w:pPr>
            <w:r w:rsidRPr="00FD0839">
              <w:rPr>
                <w:rFonts w:cs="Arial"/>
                <w:b/>
                <w:bCs/>
                <w:sz w:val="20"/>
                <w:szCs w:val="20"/>
              </w:rPr>
              <w:t>207</w:t>
            </w:r>
          </w:p>
        </w:tc>
      </w:tr>
      <w:tr w:rsidR="00237177" w:rsidRPr="003E3697" w:rsidTr="00237177">
        <w:trPr>
          <w:trHeight w:val="225"/>
        </w:trPr>
        <w:tc>
          <w:tcPr>
            <w:tcW w:w="4994" w:type="dxa"/>
            <w:noWrap/>
          </w:tcPr>
          <w:p w:rsidR="00237177" w:rsidRPr="00237177" w:rsidRDefault="00237177" w:rsidP="00F923C3">
            <w:pPr>
              <w:rPr>
                <w:rFonts w:cs="Arial"/>
                <w:color w:val="000000"/>
                <w:sz w:val="20"/>
                <w:lang w:eastAsia="fi-FI"/>
              </w:rPr>
            </w:pPr>
            <w:r w:rsidRPr="00237177">
              <w:rPr>
                <w:rFonts w:cs="Arial"/>
                <w:sz w:val="20"/>
                <w:lang w:eastAsia="fi-FI"/>
              </w:rPr>
              <w:t>Cash and cash equivalents at beginning of period</w:t>
            </w:r>
          </w:p>
        </w:tc>
        <w:tc>
          <w:tcPr>
            <w:tcW w:w="1418" w:type="dxa"/>
            <w:vAlign w:val="bottom"/>
          </w:tcPr>
          <w:p w:rsidR="00237177" w:rsidRPr="00FD0839" w:rsidRDefault="00237177" w:rsidP="00237177">
            <w:pPr>
              <w:jc w:val="right"/>
              <w:rPr>
                <w:rFonts w:cs="Arial"/>
                <w:sz w:val="20"/>
                <w:szCs w:val="20"/>
              </w:rPr>
            </w:pPr>
            <w:r w:rsidRPr="00FD0839">
              <w:rPr>
                <w:rFonts w:cs="Arial"/>
                <w:sz w:val="20"/>
                <w:szCs w:val="20"/>
              </w:rPr>
              <w:t>1</w:t>
            </w:r>
            <w:r w:rsidR="008C4D25">
              <w:rPr>
                <w:rFonts w:cs="Arial"/>
                <w:sz w:val="20"/>
                <w:szCs w:val="20"/>
              </w:rPr>
              <w:t>,</w:t>
            </w:r>
            <w:r w:rsidRPr="00FD0839">
              <w:rPr>
                <w:rFonts w:cs="Arial"/>
                <w:sz w:val="20"/>
                <w:szCs w:val="20"/>
              </w:rPr>
              <w:t>873</w:t>
            </w:r>
          </w:p>
        </w:tc>
        <w:tc>
          <w:tcPr>
            <w:tcW w:w="1559" w:type="dxa"/>
            <w:vAlign w:val="bottom"/>
          </w:tcPr>
          <w:p w:rsidR="00237177" w:rsidRPr="00FD0839" w:rsidRDefault="00237177" w:rsidP="00237177">
            <w:pPr>
              <w:jc w:val="right"/>
              <w:rPr>
                <w:rFonts w:cs="Arial"/>
                <w:sz w:val="20"/>
                <w:szCs w:val="20"/>
              </w:rPr>
            </w:pPr>
            <w:r w:rsidRPr="00FD0839">
              <w:rPr>
                <w:rFonts w:cs="Arial"/>
                <w:sz w:val="20"/>
                <w:szCs w:val="20"/>
              </w:rPr>
              <w:t>1</w:t>
            </w:r>
            <w:r w:rsidR="008C4D25">
              <w:rPr>
                <w:rFonts w:cs="Arial"/>
                <w:sz w:val="20"/>
                <w:szCs w:val="20"/>
              </w:rPr>
              <w:t>,</w:t>
            </w:r>
            <w:r w:rsidRPr="00FD0839">
              <w:rPr>
                <w:rFonts w:cs="Arial"/>
                <w:sz w:val="20"/>
                <w:szCs w:val="20"/>
              </w:rPr>
              <w:t>507</w:t>
            </w:r>
          </w:p>
        </w:tc>
        <w:tc>
          <w:tcPr>
            <w:tcW w:w="1559" w:type="dxa"/>
            <w:vAlign w:val="bottom"/>
          </w:tcPr>
          <w:p w:rsidR="00237177" w:rsidRPr="00FD0839" w:rsidRDefault="00237177" w:rsidP="00237177">
            <w:pPr>
              <w:jc w:val="right"/>
              <w:rPr>
                <w:rFonts w:cs="Arial"/>
                <w:sz w:val="20"/>
                <w:szCs w:val="20"/>
              </w:rPr>
            </w:pPr>
            <w:r w:rsidRPr="00FD0839">
              <w:rPr>
                <w:rFonts w:cs="Arial"/>
                <w:sz w:val="20"/>
                <w:szCs w:val="20"/>
              </w:rPr>
              <w:t>1</w:t>
            </w:r>
            <w:r w:rsidR="008C4D25">
              <w:rPr>
                <w:rFonts w:cs="Arial"/>
                <w:sz w:val="20"/>
                <w:szCs w:val="20"/>
              </w:rPr>
              <w:t>,</w:t>
            </w:r>
            <w:r w:rsidRPr="00FD0839">
              <w:rPr>
                <w:rFonts w:cs="Arial"/>
                <w:sz w:val="20"/>
                <w:szCs w:val="20"/>
              </w:rPr>
              <w:t>507</w:t>
            </w:r>
          </w:p>
        </w:tc>
      </w:tr>
      <w:tr w:rsidR="00237177" w:rsidRPr="003E3697" w:rsidTr="00237177">
        <w:trPr>
          <w:trHeight w:val="225"/>
        </w:trPr>
        <w:tc>
          <w:tcPr>
            <w:tcW w:w="4994" w:type="dxa"/>
            <w:noWrap/>
          </w:tcPr>
          <w:p w:rsidR="00237177" w:rsidRPr="00237177" w:rsidRDefault="00237177" w:rsidP="00F923C3">
            <w:pPr>
              <w:rPr>
                <w:rFonts w:cs="Arial"/>
                <w:sz w:val="20"/>
                <w:lang w:eastAsia="fi-FI"/>
              </w:rPr>
            </w:pPr>
            <w:r w:rsidRPr="00237177">
              <w:rPr>
                <w:rFonts w:cs="Arial"/>
                <w:sz w:val="20"/>
                <w:lang w:eastAsia="fi-FI"/>
              </w:rPr>
              <w:t>Effect of changes in exchange rates</w:t>
            </w:r>
          </w:p>
        </w:tc>
        <w:tc>
          <w:tcPr>
            <w:tcW w:w="1418" w:type="dxa"/>
            <w:vAlign w:val="bottom"/>
          </w:tcPr>
          <w:p w:rsidR="00237177" w:rsidRPr="00FD0839" w:rsidRDefault="00237177" w:rsidP="00237177">
            <w:pPr>
              <w:jc w:val="right"/>
              <w:rPr>
                <w:rFonts w:cs="Arial"/>
                <w:sz w:val="20"/>
                <w:szCs w:val="20"/>
              </w:rPr>
            </w:pPr>
            <w:r w:rsidRPr="00FD0839">
              <w:rPr>
                <w:rFonts w:cs="Arial"/>
                <w:sz w:val="20"/>
                <w:szCs w:val="20"/>
              </w:rPr>
              <w:t>143</w:t>
            </w:r>
          </w:p>
        </w:tc>
        <w:tc>
          <w:tcPr>
            <w:tcW w:w="1559" w:type="dxa"/>
            <w:vAlign w:val="bottom"/>
          </w:tcPr>
          <w:p w:rsidR="00237177" w:rsidRPr="00FD0839" w:rsidRDefault="00237177" w:rsidP="00237177">
            <w:pPr>
              <w:jc w:val="right"/>
              <w:rPr>
                <w:rFonts w:cs="Arial"/>
                <w:sz w:val="20"/>
                <w:szCs w:val="20"/>
              </w:rPr>
            </w:pPr>
            <w:r w:rsidRPr="00FD0839">
              <w:rPr>
                <w:rFonts w:cs="Arial"/>
                <w:sz w:val="20"/>
                <w:szCs w:val="20"/>
              </w:rPr>
              <w:t>55</w:t>
            </w:r>
          </w:p>
        </w:tc>
        <w:tc>
          <w:tcPr>
            <w:tcW w:w="1559" w:type="dxa"/>
            <w:vAlign w:val="bottom"/>
          </w:tcPr>
          <w:p w:rsidR="00237177" w:rsidRPr="00FD0839" w:rsidRDefault="00237177" w:rsidP="00237177">
            <w:pPr>
              <w:jc w:val="right"/>
              <w:rPr>
                <w:rFonts w:cs="Arial"/>
                <w:sz w:val="20"/>
                <w:szCs w:val="20"/>
              </w:rPr>
            </w:pPr>
            <w:r w:rsidRPr="00FD0839">
              <w:rPr>
                <w:rFonts w:cs="Arial"/>
                <w:sz w:val="20"/>
                <w:szCs w:val="20"/>
              </w:rPr>
              <w:t>158</w:t>
            </w:r>
          </w:p>
        </w:tc>
      </w:tr>
      <w:tr w:rsidR="00237177" w:rsidRPr="003E3697" w:rsidTr="00237177">
        <w:trPr>
          <w:trHeight w:val="225"/>
        </w:trPr>
        <w:tc>
          <w:tcPr>
            <w:tcW w:w="4994" w:type="dxa"/>
            <w:noWrap/>
          </w:tcPr>
          <w:p w:rsidR="00237177" w:rsidRPr="00237177" w:rsidRDefault="00237177" w:rsidP="00F923C3">
            <w:pPr>
              <w:rPr>
                <w:rFonts w:cs="Arial"/>
                <w:sz w:val="20"/>
                <w:lang w:eastAsia="fi-FI"/>
              </w:rPr>
            </w:pPr>
            <w:r w:rsidRPr="00237177">
              <w:rPr>
                <w:rFonts w:cs="Arial"/>
                <w:sz w:val="20"/>
                <w:lang w:eastAsia="fi-FI"/>
              </w:rPr>
              <w:t>Changes in fair value (cash and cash equivalents)</w:t>
            </w:r>
          </w:p>
        </w:tc>
        <w:tc>
          <w:tcPr>
            <w:tcW w:w="1418" w:type="dxa"/>
            <w:vAlign w:val="bottom"/>
          </w:tcPr>
          <w:p w:rsidR="00237177" w:rsidRPr="00FD0839" w:rsidRDefault="00237177" w:rsidP="00237177">
            <w:pPr>
              <w:jc w:val="right"/>
              <w:rPr>
                <w:rFonts w:cs="Arial"/>
                <w:sz w:val="20"/>
                <w:szCs w:val="20"/>
              </w:rPr>
            </w:pPr>
            <w:r w:rsidRPr="00FD0839">
              <w:rPr>
                <w:rFonts w:cs="Arial"/>
                <w:sz w:val="20"/>
                <w:szCs w:val="20"/>
              </w:rPr>
              <w:t>0</w:t>
            </w:r>
          </w:p>
        </w:tc>
        <w:tc>
          <w:tcPr>
            <w:tcW w:w="1559" w:type="dxa"/>
            <w:vAlign w:val="bottom"/>
          </w:tcPr>
          <w:p w:rsidR="00237177" w:rsidRPr="00FD0839" w:rsidRDefault="00237177" w:rsidP="00237177">
            <w:pPr>
              <w:jc w:val="right"/>
              <w:rPr>
                <w:rFonts w:cs="Arial"/>
                <w:sz w:val="20"/>
                <w:szCs w:val="20"/>
              </w:rPr>
            </w:pPr>
            <w:r w:rsidRPr="00FD0839">
              <w:rPr>
                <w:rFonts w:cs="Arial"/>
                <w:sz w:val="20"/>
                <w:szCs w:val="20"/>
              </w:rPr>
              <w:t>35</w:t>
            </w:r>
          </w:p>
        </w:tc>
        <w:tc>
          <w:tcPr>
            <w:tcW w:w="1559" w:type="dxa"/>
            <w:vAlign w:val="bottom"/>
          </w:tcPr>
          <w:p w:rsidR="00237177" w:rsidRPr="00FD0839" w:rsidRDefault="00237177" w:rsidP="00237177">
            <w:pPr>
              <w:jc w:val="right"/>
              <w:rPr>
                <w:rFonts w:cs="Arial"/>
                <w:sz w:val="20"/>
                <w:szCs w:val="20"/>
              </w:rPr>
            </w:pPr>
            <w:r w:rsidRPr="00FD0839">
              <w:rPr>
                <w:rFonts w:cs="Arial"/>
                <w:sz w:val="20"/>
                <w:szCs w:val="20"/>
              </w:rPr>
              <w:t>0</w:t>
            </w:r>
          </w:p>
        </w:tc>
      </w:tr>
      <w:tr w:rsidR="00237177" w:rsidRPr="003E3697" w:rsidTr="00237177">
        <w:trPr>
          <w:trHeight w:val="225"/>
        </w:trPr>
        <w:tc>
          <w:tcPr>
            <w:tcW w:w="4994" w:type="dxa"/>
            <w:noWrap/>
          </w:tcPr>
          <w:p w:rsidR="00237177" w:rsidRPr="00237177" w:rsidRDefault="00237177" w:rsidP="00F923C3">
            <w:pPr>
              <w:rPr>
                <w:rFonts w:cs="Arial"/>
                <w:sz w:val="20"/>
                <w:lang w:eastAsia="fi-FI"/>
              </w:rPr>
            </w:pPr>
            <w:r w:rsidRPr="00237177">
              <w:rPr>
                <w:rFonts w:cs="Arial"/>
                <w:b/>
                <w:sz w:val="20"/>
                <w:lang w:eastAsia="fi-FI"/>
              </w:rPr>
              <w:t>Cash and cash equivalents at end of period</w:t>
            </w:r>
          </w:p>
        </w:tc>
        <w:tc>
          <w:tcPr>
            <w:tcW w:w="1418" w:type="dxa"/>
            <w:vAlign w:val="bottom"/>
          </w:tcPr>
          <w:p w:rsidR="00237177" w:rsidRPr="00FD0839" w:rsidRDefault="00237177" w:rsidP="00237177">
            <w:pPr>
              <w:jc w:val="right"/>
              <w:rPr>
                <w:rFonts w:cs="Arial"/>
                <w:b/>
                <w:bCs/>
                <w:sz w:val="20"/>
                <w:szCs w:val="20"/>
              </w:rPr>
            </w:pPr>
            <w:r w:rsidRPr="00FD0839">
              <w:rPr>
                <w:rFonts w:cs="Arial"/>
                <w:b/>
                <w:bCs/>
                <w:sz w:val="20"/>
                <w:szCs w:val="20"/>
              </w:rPr>
              <w:t>2</w:t>
            </w:r>
            <w:r w:rsidR="008C4D25">
              <w:rPr>
                <w:rFonts w:cs="Arial"/>
                <w:b/>
                <w:bCs/>
                <w:sz w:val="20"/>
                <w:szCs w:val="20"/>
              </w:rPr>
              <w:t>,</w:t>
            </w:r>
            <w:r w:rsidRPr="00FD0839">
              <w:rPr>
                <w:rFonts w:cs="Arial"/>
                <w:b/>
                <w:bCs/>
                <w:sz w:val="20"/>
                <w:szCs w:val="20"/>
              </w:rPr>
              <w:t>699</w:t>
            </w:r>
          </w:p>
        </w:tc>
        <w:tc>
          <w:tcPr>
            <w:tcW w:w="1559" w:type="dxa"/>
            <w:vAlign w:val="bottom"/>
          </w:tcPr>
          <w:p w:rsidR="00237177" w:rsidRPr="00FD0839" w:rsidRDefault="00237177" w:rsidP="00237177">
            <w:pPr>
              <w:jc w:val="right"/>
              <w:rPr>
                <w:rFonts w:cs="Arial"/>
                <w:b/>
                <w:bCs/>
                <w:sz w:val="20"/>
                <w:szCs w:val="20"/>
              </w:rPr>
            </w:pPr>
            <w:r w:rsidRPr="00FD0839">
              <w:rPr>
                <w:rFonts w:cs="Arial"/>
                <w:b/>
                <w:bCs/>
                <w:sz w:val="20"/>
                <w:szCs w:val="20"/>
              </w:rPr>
              <w:t>1</w:t>
            </w:r>
            <w:r w:rsidR="008C4D25">
              <w:rPr>
                <w:rFonts w:cs="Arial"/>
                <w:b/>
                <w:bCs/>
                <w:sz w:val="20"/>
                <w:szCs w:val="20"/>
              </w:rPr>
              <w:t>,</w:t>
            </w:r>
            <w:r w:rsidRPr="00FD0839">
              <w:rPr>
                <w:rFonts w:cs="Arial"/>
                <w:b/>
                <w:bCs/>
                <w:sz w:val="20"/>
                <w:szCs w:val="20"/>
              </w:rPr>
              <w:t>048</w:t>
            </w:r>
          </w:p>
        </w:tc>
        <w:tc>
          <w:tcPr>
            <w:tcW w:w="1559" w:type="dxa"/>
            <w:vAlign w:val="bottom"/>
          </w:tcPr>
          <w:p w:rsidR="00237177" w:rsidRPr="00FD0839" w:rsidRDefault="00237177" w:rsidP="00237177">
            <w:pPr>
              <w:jc w:val="right"/>
              <w:rPr>
                <w:rFonts w:cs="Arial"/>
                <w:b/>
                <w:bCs/>
                <w:sz w:val="20"/>
                <w:szCs w:val="20"/>
              </w:rPr>
            </w:pPr>
            <w:r w:rsidRPr="00FD0839">
              <w:rPr>
                <w:rFonts w:cs="Arial"/>
                <w:b/>
                <w:bCs/>
                <w:sz w:val="20"/>
                <w:szCs w:val="20"/>
              </w:rPr>
              <w:t>1</w:t>
            </w:r>
            <w:r w:rsidR="008C4D25">
              <w:rPr>
                <w:rFonts w:cs="Arial"/>
                <w:b/>
                <w:bCs/>
                <w:sz w:val="20"/>
                <w:szCs w:val="20"/>
              </w:rPr>
              <w:t>,</w:t>
            </w:r>
            <w:r w:rsidRPr="00FD0839">
              <w:rPr>
                <w:rFonts w:cs="Arial"/>
                <w:b/>
                <w:bCs/>
                <w:sz w:val="20"/>
                <w:szCs w:val="20"/>
              </w:rPr>
              <w:t>872</w:t>
            </w:r>
          </w:p>
        </w:tc>
      </w:tr>
      <w:tr w:rsidR="00C8450C" w:rsidRPr="003E3697" w:rsidTr="00C8450C">
        <w:trPr>
          <w:trHeight w:val="225"/>
        </w:trPr>
        <w:tc>
          <w:tcPr>
            <w:tcW w:w="4994" w:type="dxa"/>
            <w:noWrap/>
          </w:tcPr>
          <w:p w:rsidR="00C8450C" w:rsidRPr="003E3697" w:rsidRDefault="00C8450C" w:rsidP="00F923C3">
            <w:pPr>
              <w:rPr>
                <w:rFonts w:cs="Arial"/>
                <w:sz w:val="20"/>
                <w:lang w:eastAsia="fi-FI"/>
              </w:rPr>
            </w:pPr>
          </w:p>
        </w:tc>
        <w:tc>
          <w:tcPr>
            <w:tcW w:w="1418" w:type="dxa"/>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c>
          <w:tcPr>
            <w:tcW w:w="1559" w:type="dxa"/>
          </w:tcPr>
          <w:p w:rsidR="00C8450C" w:rsidRPr="003E3697" w:rsidRDefault="00C8450C" w:rsidP="00F923C3">
            <w:pPr>
              <w:jc w:val="right"/>
              <w:rPr>
                <w:rFonts w:cs="Arial"/>
                <w:sz w:val="20"/>
                <w:lang w:eastAsia="fi-FI"/>
              </w:rPr>
            </w:pPr>
          </w:p>
        </w:tc>
      </w:tr>
    </w:tbl>
    <w:p w:rsidR="00A466B8" w:rsidRPr="008951BF" w:rsidRDefault="00A466B8" w:rsidP="00A466B8">
      <w:pPr>
        <w:rPr>
          <w:rFonts w:cs="Arial"/>
        </w:rPr>
      </w:pPr>
    </w:p>
    <w:p w:rsidR="00A466B8" w:rsidRDefault="00A466B8" w:rsidP="00A466B8">
      <w:pPr>
        <w:rPr>
          <w:rFonts w:cs="Arial"/>
        </w:rPr>
      </w:pPr>
      <w:r w:rsidRPr="008951BF">
        <w:rPr>
          <w:rFonts w:cs="Arial"/>
        </w:rPr>
        <w:t xml:space="preserve"> </w:t>
      </w:r>
      <w:r w:rsidRPr="008951BF">
        <w:rPr>
          <w:rFonts w:cs="Arial"/>
        </w:rPr>
        <w:br w:type="page"/>
      </w:r>
      <w:bookmarkEnd w:id="4"/>
      <w:r w:rsidR="00C31A67">
        <w:rPr>
          <w:rFonts w:cs="Arial"/>
        </w:rPr>
        <w:lastRenderedPageBreak/>
        <w:t>Annex</w:t>
      </w:r>
      <w:r w:rsidRPr="008951BF">
        <w:rPr>
          <w:rFonts w:cs="Arial"/>
        </w:rPr>
        <w:t xml:space="preserve"> 4</w:t>
      </w:r>
    </w:p>
    <w:p w:rsidR="00C31A67" w:rsidRPr="00DC694B" w:rsidRDefault="00C31A67" w:rsidP="00C31A67">
      <w:pPr>
        <w:rPr>
          <w:rFonts w:cs="Arial"/>
          <w:b/>
        </w:rPr>
      </w:pPr>
      <w:r w:rsidRPr="00DC694B">
        <w:rPr>
          <w:rFonts w:cs="Arial"/>
          <w:b/>
        </w:rPr>
        <w:t>CONSOLIDATED STATEMENT OF CHANGES IN EQUITY (IFRS), CONTINUING OPERATIONS</w:t>
      </w:r>
    </w:p>
    <w:p w:rsidR="00C31A67" w:rsidRPr="008951BF" w:rsidRDefault="00C31A67" w:rsidP="00A466B8">
      <w:pPr>
        <w:rPr>
          <w:rFonts w:cs="Arial"/>
        </w:rPr>
      </w:pPr>
    </w:p>
    <w:p w:rsidR="00A466B8" w:rsidRPr="008951BF" w:rsidRDefault="00A466B8" w:rsidP="00A466B8">
      <w:pPr>
        <w:rPr>
          <w:rFonts w:cs="Arial"/>
        </w:rPr>
      </w:pPr>
    </w:p>
    <w:tbl>
      <w:tblPr>
        <w:tblStyle w:val="TableSimple1"/>
        <w:tblW w:w="10314" w:type="dxa"/>
        <w:tblBorders>
          <w:insideH w:val="single" w:sz="4" w:space="0" w:color="auto"/>
        </w:tblBorders>
        <w:tblLayout w:type="fixed"/>
        <w:tblLook w:val="0000" w:firstRow="0" w:lastRow="0" w:firstColumn="0" w:lastColumn="0" w:noHBand="0" w:noVBand="0"/>
      </w:tblPr>
      <w:tblGrid>
        <w:gridCol w:w="2518"/>
        <w:gridCol w:w="1418"/>
        <w:gridCol w:w="1134"/>
        <w:gridCol w:w="1417"/>
        <w:gridCol w:w="1418"/>
        <w:gridCol w:w="1275"/>
        <w:gridCol w:w="1134"/>
      </w:tblGrid>
      <w:tr w:rsidR="00DC694B" w:rsidRPr="00DC694B" w:rsidTr="005B63E9">
        <w:trPr>
          <w:trHeight w:val="225"/>
        </w:trPr>
        <w:tc>
          <w:tcPr>
            <w:tcW w:w="2518" w:type="dxa"/>
            <w:noWrap/>
          </w:tcPr>
          <w:p w:rsidR="00237177" w:rsidRDefault="00237177" w:rsidP="00F923C3">
            <w:pPr>
              <w:rPr>
                <w:rFonts w:cs="Arial"/>
                <w:sz w:val="20"/>
                <w:lang w:eastAsia="fi-FI"/>
              </w:rPr>
            </w:pPr>
          </w:p>
          <w:p w:rsidR="00A466B8" w:rsidRPr="00237177" w:rsidRDefault="00237177" w:rsidP="00F923C3">
            <w:pPr>
              <w:rPr>
                <w:rFonts w:cs="Arial"/>
                <w:sz w:val="20"/>
                <w:lang w:eastAsia="fi-FI"/>
              </w:rPr>
            </w:pPr>
            <w:r w:rsidRPr="00237177">
              <w:rPr>
                <w:rFonts w:cs="Arial"/>
                <w:sz w:val="20"/>
                <w:lang w:eastAsia="fi-FI"/>
              </w:rPr>
              <w:t>(EUR thousands, unaudited)</w:t>
            </w:r>
          </w:p>
        </w:tc>
        <w:tc>
          <w:tcPr>
            <w:tcW w:w="1418" w:type="dxa"/>
            <w:noWrap/>
          </w:tcPr>
          <w:p w:rsidR="00A466B8" w:rsidRPr="00DC694B" w:rsidRDefault="00A466B8" w:rsidP="00F923C3">
            <w:pPr>
              <w:jc w:val="right"/>
              <w:rPr>
                <w:rFonts w:cs="Arial"/>
                <w:b/>
                <w:sz w:val="20"/>
                <w:lang w:eastAsia="fi-FI"/>
              </w:rPr>
            </w:pPr>
            <w:r w:rsidRPr="00DC694B">
              <w:rPr>
                <w:rFonts w:cs="Arial"/>
                <w:b/>
                <w:sz w:val="20"/>
                <w:lang w:eastAsia="fi-FI"/>
              </w:rPr>
              <w:t xml:space="preserve">Share capital </w:t>
            </w:r>
          </w:p>
        </w:tc>
        <w:tc>
          <w:tcPr>
            <w:tcW w:w="1134" w:type="dxa"/>
            <w:noWrap/>
          </w:tcPr>
          <w:p w:rsidR="00A466B8" w:rsidRPr="00DC694B" w:rsidRDefault="00A466B8" w:rsidP="00F923C3">
            <w:pPr>
              <w:jc w:val="right"/>
              <w:rPr>
                <w:rFonts w:cs="Arial"/>
                <w:b/>
                <w:sz w:val="20"/>
                <w:lang w:eastAsia="fi-FI"/>
              </w:rPr>
            </w:pPr>
            <w:r w:rsidRPr="00DC694B">
              <w:rPr>
                <w:rFonts w:cs="Arial"/>
                <w:b/>
                <w:sz w:val="20"/>
                <w:lang w:eastAsia="fi-FI"/>
              </w:rPr>
              <w:t xml:space="preserve">Share premium account </w:t>
            </w:r>
          </w:p>
        </w:tc>
        <w:tc>
          <w:tcPr>
            <w:tcW w:w="1417" w:type="dxa"/>
          </w:tcPr>
          <w:p w:rsidR="00A466B8" w:rsidRPr="00DC694B" w:rsidRDefault="00A466B8" w:rsidP="00F923C3">
            <w:pPr>
              <w:rPr>
                <w:rFonts w:cs="Arial"/>
                <w:b/>
                <w:sz w:val="20"/>
                <w:lang w:eastAsia="fi-FI"/>
              </w:rPr>
            </w:pPr>
            <w:r w:rsidRPr="00DC694B">
              <w:rPr>
                <w:rFonts w:cs="Arial"/>
                <w:b/>
                <w:sz w:val="20"/>
                <w:lang w:eastAsia="fi-FI"/>
              </w:rPr>
              <w:t>Reserve for invested unrestricted equity</w:t>
            </w:r>
          </w:p>
        </w:tc>
        <w:tc>
          <w:tcPr>
            <w:tcW w:w="1418" w:type="dxa"/>
            <w:noWrap/>
          </w:tcPr>
          <w:p w:rsidR="00A466B8" w:rsidRPr="00DC694B" w:rsidRDefault="00A466B8" w:rsidP="00F923C3">
            <w:pPr>
              <w:rPr>
                <w:rFonts w:cs="Arial"/>
                <w:b/>
                <w:sz w:val="20"/>
                <w:lang w:eastAsia="fi-FI"/>
              </w:rPr>
            </w:pPr>
            <w:r w:rsidRPr="00DC694B">
              <w:rPr>
                <w:rFonts w:cs="Arial"/>
                <w:b/>
                <w:sz w:val="20"/>
                <w:lang w:eastAsia="fi-FI"/>
              </w:rPr>
              <w:t>Exchange differences</w:t>
            </w:r>
          </w:p>
        </w:tc>
        <w:tc>
          <w:tcPr>
            <w:tcW w:w="1275" w:type="dxa"/>
            <w:noWrap/>
          </w:tcPr>
          <w:p w:rsidR="00A466B8" w:rsidRPr="00DC694B" w:rsidRDefault="00A466B8" w:rsidP="00F923C3">
            <w:pPr>
              <w:jc w:val="right"/>
              <w:rPr>
                <w:rFonts w:cs="Arial"/>
                <w:b/>
                <w:sz w:val="20"/>
                <w:lang w:eastAsia="fi-FI"/>
              </w:rPr>
            </w:pPr>
            <w:r w:rsidRPr="00DC694B">
              <w:rPr>
                <w:rFonts w:cs="Arial"/>
                <w:b/>
                <w:sz w:val="20"/>
                <w:lang w:eastAsia="fi-FI"/>
              </w:rPr>
              <w:t>Retained</w:t>
            </w:r>
          </w:p>
          <w:p w:rsidR="00A466B8" w:rsidRPr="00DC694B" w:rsidRDefault="00A466B8" w:rsidP="00F923C3">
            <w:pPr>
              <w:jc w:val="right"/>
              <w:rPr>
                <w:rFonts w:cs="Arial"/>
                <w:b/>
                <w:sz w:val="20"/>
                <w:lang w:eastAsia="fi-FI"/>
              </w:rPr>
            </w:pPr>
            <w:r w:rsidRPr="00DC694B">
              <w:rPr>
                <w:rFonts w:cs="Arial"/>
                <w:b/>
                <w:sz w:val="20"/>
                <w:lang w:eastAsia="fi-FI"/>
              </w:rPr>
              <w:t xml:space="preserve">earnings </w:t>
            </w:r>
          </w:p>
        </w:tc>
        <w:tc>
          <w:tcPr>
            <w:tcW w:w="1134" w:type="dxa"/>
            <w:noWrap/>
          </w:tcPr>
          <w:p w:rsidR="00A466B8" w:rsidRPr="00DC694B" w:rsidRDefault="00A466B8" w:rsidP="00F923C3">
            <w:pPr>
              <w:jc w:val="right"/>
              <w:rPr>
                <w:rFonts w:cs="Arial"/>
                <w:b/>
                <w:sz w:val="20"/>
                <w:lang w:eastAsia="fi-FI"/>
              </w:rPr>
            </w:pPr>
            <w:r w:rsidRPr="00DC694B">
              <w:rPr>
                <w:rFonts w:cs="Arial"/>
                <w:b/>
                <w:sz w:val="20"/>
                <w:lang w:eastAsia="fi-FI"/>
              </w:rPr>
              <w:t>Total</w:t>
            </w:r>
          </w:p>
        </w:tc>
      </w:tr>
      <w:tr w:rsidR="00DC694B" w:rsidRPr="008951BF" w:rsidTr="005B63E9">
        <w:trPr>
          <w:trHeight w:val="225"/>
        </w:trPr>
        <w:tc>
          <w:tcPr>
            <w:tcW w:w="2518" w:type="dxa"/>
            <w:noWrap/>
          </w:tcPr>
          <w:p w:rsidR="00A466B8" w:rsidRPr="00721976" w:rsidRDefault="00A466B8" w:rsidP="00F923C3">
            <w:pPr>
              <w:rPr>
                <w:rFonts w:cs="Arial"/>
                <w:sz w:val="20"/>
                <w:lang w:eastAsia="fi-FI"/>
              </w:rPr>
            </w:pPr>
          </w:p>
        </w:tc>
        <w:tc>
          <w:tcPr>
            <w:tcW w:w="1418" w:type="dxa"/>
            <w:noWrap/>
          </w:tcPr>
          <w:p w:rsidR="00A466B8" w:rsidRPr="008951BF" w:rsidRDefault="00A466B8" w:rsidP="00F923C3">
            <w:pPr>
              <w:jc w:val="right"/>
              <w:rPr>
                <w:rFonts w:cs="Arial"/>
                <w:b/>
                <w:bCs/>
                <w:lang w:eastAsia="fi-FI"/>
              </w:rPr>
            </w:pPr>
          </w:p>
        </w:tc>
        <w:tc>
          <w:tcPr>
            <w:tcW w:w="1134" w:type="dxa"/>
            <w:noWrap/>
          </w:tcPr>
          <w:p w:rsidR="00A466B8" w:rsidRPr="008951BF" w:rsidRDefault="00A466B8" w:rsidP="00F923C3">
            <w:pPr>
              <w:jc w:val="right"/>
              <w:rPr>
                <w:rFonts w:cs="Arial"/>
                <w:b/>
                <w:bCs/>
                <w:lang w:eastAsia="fi-FI"/>
              </w:rPr>
            </w:pPr>
          </w:p>
        </w:tc>
        <w:tc>
          <w:tcPr>
            <w:tcW w:w="1417" w:type="dxa"/>
          </w:tcPr>
          <w:p w:rsidR="00A466B8" w:rsidRPr="008951BF" w:rsidRDefault="00A466B8" w:rsidP="00F923C3">
            <w:pPr>
              <w:rPr>
                <w:rFonts w:cs="Arial"/>
                <w:lang w:eastAsia="fi-FI"/>
              </w:rPr>
            </w:pPr>
          </w:p>
        </w:tc>
        <w:tc>
          <w:tcPr>
            <w:tcW w:w="1418" w:type="dxa"/>
            <w:noWrap/>
          </w:tcPr>
          <w:p w:rsidR="00A466B8" w:rsidRPr="008951BF" w:rsidRDefault="00A466B8" w:rsidP="00F923C3">
            <w:pPr>
              <w:rPr>
                <w:rFonts w:cs="Arial"/>
                <w:lang w:eastAsia="fi-FI"/>
              </w:rPr>
            </w:pPr>
          </w:p>
        </w:tc>
        <w:tc>
          <w:tcPr>
            <w:tcW w:w="1275" w:type="dxa"/>
            <w:noWrap/>
          </w:tcPr>
          <w:p w:rsidR="00A466B8" w:rsidRPr="008951BF" w:rsidRDefault="00A466B8" w:rsidP="00F923C3">
            <w:pPr>
              <w:jc w:val="right"/>
              <w:rPr>
                <w:rFonts w:cs="Arial"/>
                <w:b/>
                <w:bCs/>
                <w:lang w:eastAsia="fi-FI"/>
              </w:rPr>
            </w:pPr>
          </w:p>
        </w:tc>
        <w:tc>
          <w:tcPr>
            <w:tcW w:w="1134" w:type="dxa"/>
            <w:noWrap/>
          </w:tcPr>
          <w:p w:rsidR="00A466B8" w:rsidRPr="008951BF" w:rsidRDefault="00A466B8" w:rsidP="00F923C3">
            <w:pPr>
              <w:jc w:val="right"/>
              <w:rPr>
                <w:rFonts w:cs="Arial"/>
                <w:b/>
                <w:bCs/>
                <w:lang w:eastAsia="fi-FI"/>
              </w:rPr>
            </w:pPr>
          </w:p>
        </w:tc>
      </w:tr>
      <w:tr w:rsidR="00C8450C" w:rsidRPr="00237177" w:rsidTr="005B63E9">
        <w:trPr>
          <w:trHeight w:val="225"/>
        </w:trPr>
        <w:tc>
          <w:tcPr>
            <w:tcW w:w="2518" w:type="dxa"/>
            <w:noWrap/>
          </w:tcPr>
          <w:p w:rsidR="00C8450C" w:rsidRPr="00237177" w:rsidRDefault="00C8450C" w:rsidP="00721976">
            <w:pPr>
              <w:rPr>
                <w:rFonts w:cs="Arial"/>
                <w:sz w:val="20"/>
                <w:lang w:eastAsia="fi-FI"/>
              </w:rPr>
            </w:pPr>
            <w:r w:rsidRPr="00237177">
              <w:rPr>
                <w:rFonts w:cs="Arial"/>
                <w:sz w:val="20"/>
                <w:lang w:eastAsia="fi-FI"/>
              </w:rPr>
              <w:t>Equity at 1 January 2014</w:t>
            </w:r>
          </w:p>
        </w:tc>
        <w:tc>
          <w:tcPr>
            <w:tcW w:w="1418" w:type="dxa"/>
            <w:noWrap/>
            <w:vAlign w:val="center"/>
          </w:tcPr>
          <w:p w:rsidR="00C8450C" w:rsidRPr="00237177" w:rsidRDefault="00C8450C" w:rsidP="00237177">
            <w:pPr>
              <w:ind w:left="426"/>
              <w:jc w:val="right"/>
              <w:rPr>
                <w:rFonts w:cs="Arial"/>
                <w:sz w:val="18"/>
                <w:szCs w:val="18"/>
                <w:lang w:val="fi-FI" w:eastAsia="fi-FI"/>
              </w:rPr>
            </w:pPr>
            <w:r w:rsidRPr="00237177">
              <w:rPr>
                <w:rFonts w:cs="Arial"/>
                <w:sz w:val="18"/>
                <w:szCs w:val="18"/>
                <w:lang w:val="fi-FI" w:eastAsia="fi-FI"/>
              </w:rPr>
              <w:t>20</w:t>
            </w:r>
            <w:r w:rsidR="008C4D25">
              <w:rPr>
                <w:rFonts w:cs="Arial"/>
                <w:sz w:val="18"/>
                <w:szCs w:val="18"/>
                <w:lang w:val="fi-FI" w:eastAsia="fi-FI"/>
              </w:rPr>
              <w:t>,</w:t>
            </w:r>
            <w:r w:rsidRPr="00237177">
              <w:rPr>
                <w:rFonts w:cs="Arial"/>
                <w:sz w:val="18"/>
                <w:szCs w:val="18"/>
                <w:lang w:val="fi-FI" w:eastAsia="fi-FI"/>
              </w:rPr>
              <w:t>487</w:t>
            </w:r>
          </w:p>
        </w:tc>
        <w:tc>
          <w:tcPr>
            <w:tcW w:w="1134" w:type="dxa"/>
            <w:noWrap/>
            <w:vAlign w:val="center"/>
          </w:tcPr>
          <w:p w:rsidR="00C8450C" w:rsidRPr="00237177" w:rsidRDefault="00C8450C" w:rsidP="00237177">
            <w:pPr>
              <w:ind w:left="426"/>
              <w:jc w:val="right"/>
              <w:rPr>
                <w:rFonts w:cs="Arial"/>
                <w:sz w:val="18"/>
                <w:szCs w:val="18"/>
                <w:lang w:val="fi-FI" w:eastAsia="fi-FI"/>
              </w:rPr>
            </w:pPr>
            <w:r w:rsidRPr="00237177">
              <w:rPr>
                <w:rFonts w:cs="Arial"/>
                <w:sz w:val="18"/>
                <w:szCs w:val="18"/>
                <w:lang w:val="fi-FI" w:eastAsia="fi-FI"/>
              </w:rPr>
              <w:t>44</w:t>
            </w:r>
          </w:p>
        </w:tc>
        <w:tc>
          <w:tcPr>
            <w:tcW w:w="1417" w:type="dxa"/>
            <w:vAlign w:val="center"/>
          </w:tcPr>
          <w:p w:rsidR="00C8450C" w:rsidRPr="00237177" w:rsidRDefault="00C8450C" w:rsidP="00237177">
            <w:pPr>
              <w:ind w:left="426"/>
              <w:jc w:val="right"/>
              <w:rPr>
                <w:rFonts w:cs="Arial"/>
                <w:sz w:val="18"/>
                <w:szCs w:val="18"/>
                <w:lang w:val="fi-FI" w:eastAsia="fi-FI"/>
              </w:rPr>
            </w:pPr>
            <w:r w:rsidRPr="00237177">
              <w:rPr>
                <w:rFonts w:cs="Arial"/>
                <w:sz w:val="18"/>
                <w:szCs w:val="18"/>
                <w:lang w:val="fi-FI" w:eastAsia="fi-FI"/>
              </w:rPr>
              <w:t>17</w:t>
            </w:r>
            <w:r w:rsidR="008C4D25">
              <w:rPr>
                <w:rFonts w:cs="Arial"/>
                <w:sz w:val="18"/>
                <w:szCs w:val="18"/>
                <w:lang w:val="fi-FI" w:eastAsia="fi-FI"/>
              </w:rPr>
              <w:t>,</w:t>
            </w:r>
            <w:r w:rsidRPr="00237177">
              <w:rPr>
                <w:rFonts w:cs="Arial"/>
                <w:sz w:val="18"/>
                <w:szCs w:val="18"/>
                <w:lang w:val="fi-FI" w:eastAsia="fi-FI"/>
              </w:rPr>
              <w:t>471</w:t>
            </w:r>
          </w:p>
        </w:tc>
        <w:tc>
          <w:tcPr>
            <w:tcW w:w="1418" w:type="dxa"/>
            <w:noWrap/>
            <w:vAlign w:val="center"/>
          </w:tcPr>
          <w:p w:rsidR="00C8450C" w:rsidRPr="00237177" w:rsidRDefault="00C8450C" w:rsidP="00237177">
            <w:pPr>
              <w:ind w:left="426"/>
              <w:jc w:val="right"/>
              <w:rPr>
                <w:rFonts w:cs="Arial"/>
                <w:sz w:val="18"/>
                <w:szCs w:val="18"/>
                <w:lang w:val="fi-FI" w:eastAsia="fi-FI"/>
              </w:rPr>
            </w:pPr>
            <w:proofErr w:type="gramStart"/>
            <w:r w:rsidRPr="00237177">
              <w:rPr>
                <w:rFonts w:cs="Arial"/>
                <w:sz w:val="18"/>
                <w:szCs w:val="18"/>
                <w:lang w:val="fi-FI" w:eastAsia="fi-FI"/>
              </w:rPr>
              <w:t>-</w:t>
            </w:r>
            <w:proofErr w:type="gramEnd"/>
            <w:r w:rsidRPr="00237177">
              <w:rPr>
                <w:rFonts w:cs="Arial"/>
                <w:sz w:val="18"/>
                <w:szCs w:val="18"/>
                <w:lang w:val="fi-FI" w:eastAsia="fi-FI"/>
              </w:rPr>
              <w:t>1</w:t>
            </w:r>
            <w:r w:rsidR="008C4D25">
              <w:rPr>
                <w:rFonts w:cs="Arial"/>
                <w:sz w:val="18"/>
                <w:szCs w:val="18"/>
                <w:lang w:val="fi-FI" w:eastAsia="fi-FI"/>
              </w:rPr>
              <w:t>,</w:t>
            </w:r>
            <w:r w:rsidRPr="00237177">
              <w:rPr>
                <w:rFonts w:cs="Arial"/>
                <w:sz w:val="18"/>
                <w:szCs w:val="18"/>
                <w:lang w:val="fi-FI" w:eastAsia="fi-FI"/>
              </w:rPr>
              <w:t>258</w:t>
            </w:r>
          </w:p>
        </w:tc>
        <w:tc>
          <w:tcPr>
            <w:tcW w:w="1275" w:type="dxa"/>
            <w:noWrap/>
            <w:vAlign w:val="center"/>
          </w:tcPr>
          <w:p w:rsidR="00C8450C" w:rsidRPr="00237177" w:rsidRDefault="00C8450C" w:rsidP="00237177">
            <w:pPr>
              <w:jc w:val="right"/>
              <w:rPr>
                <w:rFonts w:cs="Arial"/>
                <w:sz w:val="18"/>
                <w:szCs w:val="18"/>
                <w:lang w:val="fi-FI" w:eastAsia="fi-FI"/>
              </w:rPr>
            </w:pPr>
            <w:proofErr w:type="gramStart"/>
            <w:r w:rsidRPr="00237177">
              <w:rPr>
                <w:rFonts w:cs="Arial"/>
                <w:sz w:val="18"/>
                <w:szCs w:val="18"/>
                <w:lang w:val="fi-FI" w:eastAsia="fi-FI"/>
              </w:rPr>
              <w:t>-</w:t>
            </w:r>
            <w:proofErr w:type="gramEnd"/>
            <w:r w:rsidRPr="00237177">
              <w:rPr>
                <w:rFonts w:cs="Arial"/>
                <w:sz w:val="18"/>
                <w:szCs w:val="18"/>
                <w:lang w:val="fi-FI" w:eastAsia="fi-FI"/>
              </w:rPr>
              <w:t>36</w:t>
            </w:r>
            <w:r w:rsidR="008C4D25">
              <w:rPr>
                <w:rFonts w:cs="Arial"/>
                <w:sz w:val="18"/>
                <w:szCs w:val="18"/>
                <w:lang w:val="fi-FI" w:eastAsia="fi-FI"/>
              </w:rPr>
              <w:t>,</w:t>
            </w:r>
            <w:r w:rsidRPr="00237177">
              <w:rPr>
                <w:rFonts w:cs="Arial"/>
                <w:sz w:val="18"/>
                <w:szCs w:val="18"/>
                <w:lang w:val="fi-FI" w:eastAsia="fi-FI"/>
              </w:rPr>
              <w:t xml:space="preserve">057 </w:t>
            </w:r>
          </w:p>
        </w:tc>
        <w:tc>
          <w:tcPr>
            <w:tcW w:w="1134" w:type="dxa"/>
            <w:noWrap/>
            <w:vAlign w:val="center"/>
          </w:tcPr>
          <w:p w:rsidR="00C8450C" w:rsidRPr="00237177" w:rsidRDefault="00C8450C" w:rsidP="00237177">
            <w:pPr>
              <w:ind w:left="426"/>
              <w:jc w:val="right"/>
              <w:rPr>
                <w:rFonts w:cs="Arial"/>
                <w:sz w:val="18"/>
                <w:szCs w:val="18"/>
                <w:lang w:val="fi-FI" w:eastAsia="fi-FI"/>
              </w:rPr>
            </w:pPr>
            <w:r w:rsidRPr="00237177">
              <w:rPr>
                <w:rFonts w:cs="Arial"/>
                <w:sz w:val="18"/>
                <w:szCs w:val="18"/>
                <w:lang w:val="fi-FI" w:eastAsia="fi-FI"/>
              </w:rPr>
              <w:t>687</w:t>
            </w:r>
          </w:p>
        </w:tc>
      </w:tr>
      <w:tr w:rsidR="00C8450C" w:rsidRPr="008951BF" w:rsidTr="00237177">
        <w:trPr>
          <w:trHeight w:val="225"/>
        </w:trPr>
        <w:tc>
          <w:tcPr>
            <w:tcW w:w="2518" w:type="dxa"/>
            <w:noWrap/>
          </w:tcPr>
          <w:p w:rsidR="00C8450C" w:rsidRPr="00721976" w:rsidRDefault="00C8450C" w:rsidP="00F923C3">
            <w:pPr>
              <w:rPr>
                <w:rFonts w:cs="Arial"/>
                <w:sz w:val="20"/>
                <w:lang w:eastAsia="fi-FI"/>
              </w:rPr>
            </w:pPr>
            <w:r w:rsidRPr="00721976">
              <w:rPr>
                <w:rFonts w:cs="Arial"/>
                <w:sz w:val="20"/>
                <w:lang w:eastAsia="fi-FI"/>
              </w:rPr>
              <w:t>Total comprehensive income</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134"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417" w:type="dxa"/>
          </w:tcPr>
          <w:p w:rsidR="00C8450C" w:rsidRPr="00F131CF" w:rsidRDefault="00C8450C" w:rsidP="00237177">
            <w:pPr>
              <w:ind w:left="426"/>
              <w:jc w:val="right"/>
              <w:rPr>
                <w:rFonts w:cs="Arial"/>
                <w:sz w:val="18"/>
                <w:szCs w:val="18"/>
              </w:rPr>
            </w:pPr>
            <w:r>
              <w:rPr>
                <w:rFonts w:cs="Arial"/>
                <w:sz w:val="18"/>
                <w:szCs w:val="18"/>
              </w:rPr>
              <w:t>0</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275" w:type="dxa"/>
            <w:noWrap/>
          </w:tcPr>
          <w:p w:rsidR="00C8450C" w:rsidRPr="00F131CF" w:rsidRDefault="00C8450C" w:rsidP="00237177">
            <w:pPr>
              <w:ind w:left="426"/>
              <w:jc w:val="right"/>
              <w:rPr>
                <w:rFonts w:cs="Arial"/>
                <w:sz w:val="18"/>
                <w:szCs w:val="18"/>
                <w:lang w:val="fi-FI" w:eastAsia="fi-FI"/>
              </w:rPr>
            </w:pPr>
            <w:proofErr w:type="gramStart"/>
            <w:r>
              <w:rPr>
                <w:rFonts w:cs="Arial"/>
                <w:sz w:val="18"/>
                <w:szCs w:val="18"/>
                <w:lang w:val="fi-FI" w:eastAsia="fi-FI"/>
              </w:rPr>
              <w:t>-</w:t>
            </w:r>
            <w:proofErr w:type="gramEnd"/>
            <w:r>
              <w:rPr>
                <w:rFonts w:cs="Arial"/>
                <w:sz w:val="18"/>
                <w:szCs w:val="18"/>
                <w:lang w:val="fi-FI" w:eastAsia="fi-FI"/>
              </w:rPr>
              <w:t>572</w:t>
            </w:r>
          </w:p>
        </w:tc>
        <w:tc>
          <w:tcPr>
            <w:tcW w:w="1134" w:type="dxa"/>
            <w:noWrap/>
          </w:tcPr>
          <w:p w:rsidR="00C8450C" w:rsidRPr="00F131CF" w:rsidRDefault="00C8450C" w:rsidP="00237177">
            <w:pPr>
              <w:ind w:left="426"/>
              <w:jc w:val="right"/>
              <w:rPr>
                <w:rFonts w:cs="Arial"/>
                <w:sz w:val="18"/>
                <w:szCs w:val="18"/>
              </w:rPr>
            </w:pPr>
            <w:r>
              <w:rPr>
                <w:rFonts w:cs="Arial"/>
                <w:sz w:val="18"/>
                <w:szCs w:val="18"/>
              </w:rPr>
              <w:t>-572</w:t>
            </w:r>
          </w:p>
        </w:tc>
      </w:tr>
      <w:tr w:rsidR="00C8450C" w:rsidRPr="008951BF" w:rsidTr="00237177">
        <w:trPr>
          <w:trHeight w:val="225"/>
        </w:trPr>
        <w:tc>
          <w:tcPr>
            <w:tcW w:w="2518" w:type="dxa"/>
            <w:noWrap/>
          </w:tcPr>
          <w:p w:rsidR="00C8450C" w:rsidRPr="00721976" w:rsidRDefault="00C8450C" w:rsidP="00F923C3">
            <w:pPr>
              <w:rPr>
                <w:rFonts w:cs="Arial"/>
                <w:sz w:val="20"/>
                <w:lang w:eastAsia="fi-FI"/>
              </w:rPr>
            </w:pPr>
            <w:r w:rsidRPr="00721976">
              <w:rPr>
                <w:rFonts w:cs="Arial"/>
                <w:sz w:val="20"/>
                <w:lang w:eastAsia="fi-FI"/>
              </w:rPr>
              <w:t>Currency translation differences</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134"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417" w:type="dxa"/>
          </w:tcPr>
          <w:p w:rsidR="00C8450C" w:rsidRPr="00F131CF" w:rsidRDefault="00C8450C" w:rsidP="00237177">
            <w:pPr>
              <w:ind w:left="426"/>
              <w:jc w:val="right"/>
              <w:rPr>
                <w:rFonts w:cs="Arial"/>
                <w:sz w:val="18"/>
                <w:szCs w:val="18"/>
              </w:rPr>
            </w:pPr>
            <w:r>
              <w:rPr>
                <w:rFonts w:cs="Arial"/>
                <w:sz w:val="18"/>
                <w:szCs w:val="18"/>
              </w:rPr>
              <w:t>0</w:t>
            </w:r>
          </w:p>
        </w:tc>
        <w:tc>
          <w:tcPr>
            <w:tcW w:w="1418" w:type="dxa"/>
            <w:noWrap/>
          </w:tcPr>
          <w:p w:rsidR="00C8450C" w:rsidRPr="00F131CF" w:rsidRDefault="00C8450C" w:rsidP="00237177">
            <w:pPr>
              <w:ind w:left="426"/>
              <w:jc w:val="right"/>
              <w:rPr>
                <w:rFonts w:cs="Arial"/>
                <w:sz w:val="18"/>
                <w:szCs w:val="18"/>
                <w:lang w:val="fi-FI" w:eastAsia="fi-FI"/>
              </w:rPr>
            </w:pPr>
            <w:r w:rsidRPr="00F131CF">
              <w:rPr>
                <w:rFonts w:cs="Arial"/>
                <w:sz w:val="18"/>
                <w:szCs w:val="18"/>
                <w:lang w:val="fi-FI" w:eastAsia="fi-FI"/>
              </w:rPr>
              <w:t>121</w:t>
            </w:r>
          </w:p>
        </w:tc>
        <w:tc>
          <w:tcPr>
            <w:tcW w:w="1275"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134" w:type="dxa"/>
            <w:noWrap/>
          </w:tcPr>
          <w:p w:rsidR="00C8450C" w:rsidRPr="00F131CF" w:rsidRDefault="00C8450C" w:rsidP="00237177">
            <w:pPr>
              <w:ind w:left="426"/>
              <w:jc w:val="right"/>
              <w:rPr>
                <w:rFonts w:cs="Arial"/>
                <w:sz w:val="18"/>
                <w:szCs w:val="18"/>
              </w:rPr>
            </w:pPr>
            <w:r w:rsidRPr="00F131CF">
              <w:rPr>
                <w:rFonts w:cs="Arial"/>
                <w:sz w:val="18"/>
                <w:szCs w:val="18"/>
              </w:rPr>
              <w:t>121</w:t>
            </w:r>
          </w:p>
        </w:tc>
      </w:tr>
      <w:tr w:rsidR="00C8450C" w:rsidRPr="008951BF" w:rsidTr="00237177">
        <w:trPr>
          <w:trHeight w:val="225"/>
        </w:trPr>
        <w:tc>
          <w:tcPr>
            <w:tcW w:w="2518" w:type="dxa"/>
            <w:noWrap/>
          </w:tcPr>
          <w:p w:rsidR="00C8450C" w:rsidRPr="00721976" w:rsidRDefault="00C8450C" w:rsidP="00F923C3">
            <w:pPr>
              <w:rPr>
                <w:rFonts w:cs="Arial"/>
                <w:sz w:val="20"/>
                <w:lang w:eastAsia="fi-FI"/>
              </w:rPr>
            </w:pPr>
            <w:r w:rsidRPr="00721976">
              <w:rPr>
                <w:rFonts w:cs="Arial"/>
                <w:sz w:val="20"/>
                <w:lang w:eastAsia="fi-FI"/>
              </w:rPr>
              <w:t>Other changes</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134"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417" w:type="dxa"/>
          </w:tcPr>
          <w:p w:rsidR="00C8450C" w:rsidRPr="00F131CF" w:rsidRDefault="00C8450C" w:rsidP="00237177">
            <w:pPr>
              <w:ind w:left="426"/>
              <w:jc w:val="right"/>
              <w:rPr>
                <w:rFonts w:cs="Arial"/>
                <w:sz w:val="18"/>
                <w:szCs w:val="18"/>
              </w:rPr>
            </w:pPr>
            <w:r>
              <w:rPr>
                <w:rFonts w:cs="Arial"/>
                <w:sz w:val="18"/>
                <w:szCs w:val="18"/>
              </w:rPr>
              <w:t>0</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275" w:type="dxa"/>
            <w:noWrap/>
          </w:tcPr>
          <w:p w:rsidR="00C8450C" w:rsidRPr="00F131CF" w:rsidRDefault="00C8450C" w:rsidP="00237177">
            <w:pPr>
              <w:ind w:left="426"/>
              <w:jc w:val="right"/>
              <w:rPr>
                <w:rFonts w:cs="Arial"/>
                <w:sz w:val="18"/>
                <w:szCs w:val="18"/>
                <w:lang w:val="fi-FI" w:eastAsia="fi-FI"/>
              </w:rPr>
            </w:pPr>
            <w:proofErr w:type="gramStart"/>
            <w:r w:rsidRPr="00F131CF">
              <w:rPr>
                <w:rFonts w:cs="Arial"/>
                <w:sz w:val="18"/>
                <w:szCs w:val="18"/>
                <w:lang w:val="fi-FI" w:eastAsia="fi-FI"/>
              </w:rPr>
              <w:t>-</w:t>
            </w:r>
            <w:proofErr w:type="gramEnd"/>
            <w:r w:rsidRPr="00F131CF">
              <w:rPr>
                <w:rFonts w:cs="Arial"/>
                <w:sz w:val="18"/>
                <w:szCs w:val="18"/>
                <w:lang w:val="fi-FI" w:eastAsia="fi-FI"/>
              </w:rPr>
              <w:t>153</w:t>
            </w:r>
          </w:p>
        </w:tc>
        <w:tc>
          <w:tcPr>
            <w:tcW w:w="1134" w:type="dxa"/>
            <w:noWrap/>
          </w:tcPr>
          <w:p w:rsidR="00C8450C" w:rsidRPr="00F131CF" w:rsidRDefault="00C8450C" w:rsidP="00237177">
            <w:pPr>
              <w:ind w:left="426"/>
              <w:jc w:val="right"/>
              <w:rPr>
                <w:rFonts w:cs="Arial"/>
                <w:sz w:val="18"/>
                <w:szCs w:val="18"/>
              </w:rPr>
            </w:pPr>
            <w:r w:rsidRPr="00F131CF">
              <w:rPr>
                <w:rFonts w:cs="Arial"/>
                <w:sz w:val="18"/>
                <w:szCs w:val="18"/>
              </w:rPr>
              <w:t>-153</w:t>
            </w:r>
          </w:p>
        </w:tc>
      </w:tr>
      <w:tr w:rsidR="00C8450C" w:rsidRPr="008951BF" w:rsidTr="005B63E9">
        <w:trPr>
          <w:trHeight w:val="379"/>
        </w:trPr>
        <w:tc>
          <w:tcPr>
            <w:tcW w:w="2518" w:type="dxa"/>
            <w:noWrap/>
          </w:tcPr>
          <w:p w:rsidR="00C8450C" w:rsidRPr="00721976" w:rsidRDefault="00C8450C" w:rsidP="00F923C3">
            <w:pPr>
              <w:rPr>
                <w:rFonts w:cs="Arial"/>
                <w:sz w:val="20"/>
                <w:lang w:eastAsia="fi-FI"/>
              </w:rPr>
            </w:pPr>
          </w:p>
        </w:tc>
        <w:tc>
          <w:tcPr>
            <w:tcW w:w="1418" w:type="dxa"/>
            <w:noWrap/>
            <w:vAlign w:val="center"/>
          </w:tcPr>
          <w:p w:rsidR="00C8450C" w:rsidRPr="00F131CF" w:rsidRDefault="00C8450C" w:rsidP="00237177">
            <w:pPr>
              <w:ind w:left="426"/>
              <w:jc w:val="right"/>
              <w:rPr>
                <w:rFonts w:cs="Arial"/>
                <w:sz w:val="18"/>
                <w:szCs w:val="18"/>
                <w:lang w:val="fi-FI" w:eastAsia="fi-FI"/>
              </w:rPr>
            </w:pPr>
          </w:p>
        </w:tc>
        <w:tc>
          <w:tcPr>
            <w:tcW w:w="1134" w:type="dxa"/>
            <w:noWrap/>
            <w:vAlign w:val="center"/>
          </w:tcPr>
          <w:p w:rsidR="00C8450C" w:rsidRPr="00F131CF" w:rsidRDefault="00C8450C" w:rsidP="00237177">
            <w:pPr>
              <w:ind w:left="426"/>
              <w:jc w:val="right"/>
              <w:rPr>
                <w:rFonts w:cs="Arial"/>
                <w:sz w:val="18"/>
                <w:szCs w:val="18"/>
                <w:lang w:val="fi-FI" w:eastAsia="fi-FI"/>
              </w:rPr>
            </w:pPr>
          </w:p>
        </w:tc>
        <w:tc>
          <w:tcPr>
            <w:tcW w:w="1417" w:type="dxa"/>
            <w:vAlign w:val="center"/>
          </w:tcPr>
          <w:p w:rsidR="00C8450C" w:rsidRPr="00F131CF" w:rsidRDefault="00C8450C" w:rsidP="00237177">
            <w:pPr>
              <w:ind w:left="426"/>
              <w:jc w:val="right"/>
              <w:rPr>
                <w:rFonts w:cs="Arial"/>
                <w:sz w:val="18"/>
                <w:szCs w:val="18"/>
              </w:rPr>
            </w:pPr>
          </w:p>
        </w:tc>
        <w:tc>
          <w:tcPr>
            <w:tcW w:w="1418" w:type="dxa"/>
            <w:noWrap/>
            <w:vAlign w:val="center"/>
          </w:tcPr>
          <w:p w:rsidR="00C8450C" w:rsidRPr="00F131CF" w:rsidRDefault="00C8450C" w:rsidP="00237177">
            <w:pPr>
              <w:ind w:left="426"/>
              <w:jc w:val="right"/>
              <w:rPr>
                <w:rFonts w:cs="Arial"/>
                <w:sz w:val="18"/>
                <w:szCs w:val="18"/>
              </w:rPr>
            </w:pPr>
          </w:p>
        </w:tc>
        <w:tc>
          <w:tcPr>
            <w:tcW w:w="1275" w:type="dxa"/>
            <w:noWrap/>
            <w:vAlign w:val="center"/>
          </w:tcPr>
          <w:p w:rsidR="00C8450C" w:rsidRPr="00F131CF" w:rsidRDefault="00C8450C" w:rsidP="00237177">
            <w:pPr>
              <w:jc w:val="right"/>
              <w:rPr>
                <w:rFonts w:cs="Arial"/>
                <w:sz w:val="18"/>
                <w:szCs w:val="18"/>
                <w:lang w:val="fi-FI" w:eastAsia="fi-FI"/>
              </w:rPr>
            </w:pPr>
          </w:p>
        </w:tc>
        <w:tc>
          <w:tcPr>
            <w:tcW w:w="1134" w:type="dxa"/>
            <w:noWrap/>
            <w:vAlign w:val="center"/>
          </w:tcPr>
          <w:p w:rsidR="00C8450C" w:rsidRPr="00F131CF" w:rsidRDefault="00C8450C" w:rsidP="00237177">
            <w:pPr>
              <w:ind w:left="426"/>
              <w:jc w:val="right"/>
              <w:rPr>
                <w:rFonts w:cs="Arial"/>
                <w:sz w:val="18"/>
                <w:szCs w:val="18"/>
                <w:lang w:val="fi-FI" w:eastAsia="fi-FI"/>
              </w:rPr>
            </w:pPr>
          </w:p>
        </w:tc>
      </w:tr>
      <w:tr w:rsidR="00C8450C" w:rsidRPr="00237177" w:rsidTr="005B63E9">
        <w:trPr>
          <w:trHeight w:val="225"/>
        </w:trPr>
        <w:tc>
          <w:tcPr>
            <w:tcW w:w="2518" w:type="dxa"/>
            <w:noWrap/>
          </w:tcPr>
          <w:p w:rsidR="00C8450C" w:rsidRPr="00237177" w:rsidRDefault="00C8450C" w:rsidP="00C8450C">
            <w:pPr>
              <w:rPr>
                <w:rFonts w:cs="Arial"/>
                <w:sz w:val="20"/>
                <w:lang w:eastAsia="fi-FI"/>
              </w:rPr>
            </w:pPr>
            <w:r w:rsidRPr="00237177">
              <w:rPr>
                <w:rFonts w:cs="Arial"/>
                <w:sz w:val="20"/>
                <w:lang w:eastAsia="fi-FI"/>
              </w:rPr>
              <w:t>Equity at 30 June 2014</w:t>
            </w:r>
          </w:p>
        </w:tc>
        <w:tc>
          <w:tcPr>
            <w:tcW w:w="1418" w:type="dxa"/>
            <w:noWrap/>
            <w:vAlign w:val="center"/>
          </w:tcPr>
          <w:p w:rsidR="00C8450C" w:rsidRPr="00237177" w:rsidRDefault="00C8450C" w:rsidP="00237177">
            <w:pPr>
              <w:ind w:left="426"/>
              <w:jc w:val="right"/>
              <w:rPr>
                <w:rFonts w:cs="Arial"/>
                <w:sz w:val="18"/>
                <w:szCs w:val="18"/>
                <w:lang w:val="fi-FI" w:eastAsia="fi-FI"/>
              </w:rPr>
            </w:pPr>
            <w:r w:rsidRPr="00237177">
              <w:rPr>
                <w:rFonts w:cs="Arial"/>
                <w:sz w:val="18"/>
                <w:szCs w:val="18"/>
                <w:lang w:val="fi-FI" w:eastAsia="fi-FI"/>
              </w:rPr>
              <w:t>20</w:t>
            </w:r>
            <w:r w:rsidR="008C4D25">
              <w:rPr>
                <w:rFonts w:cs="Arial"/>
                <w:sz w:val="18"/>
                <w:szCs w:val="18"/>
                <w:lang w:val="fi-FI" w:eastAsia="fi-FI"/>
              </w:rPr>
              <w:t>,</w:t>
            </w:r>
            <w:r w:rsidRPr="00237177">
              <w:rPr>
                <w:rFonts w:cs="Arial"/>
                <w:sz w:val="18"/>
                <w:szCs w:val="18"/>
                <w:lang w:val="fi-FI" w:eastAsia="fi-FI"/>
              </w:rPr>
              <w:t>487</w:t>
            </w:r>
          </w:p>
        </w:tc>
        <w:tc>
          <w:tcPr>
            <w:tcW w:w="1134" w:type="dxa"/>
            <w:noWrap/>
            <w:vAlign w:val="center"/>
          </w:tcPr>
          <w:p w:rsidR="00C8450C" w:rsidRPr="00237177" w:rsidRDefault="00C8450C" w:rsidP="00237177">
            <w:pPr>
              <w:ind w:left="426"/>
              <w:jc w:val="right"/>
              <w:rPr>
                <w:rFonts w:cs="Arial"/>
                <w:sz w:val="18"/>
                <w:szCs w:val="18"/>
                <w:lang w:val="fi-FI" w:eastAsia="fi-FI"/>
              </w:rPr>
            </w:pPr>
            <w:r w:rsidRPr="00237177">
              <w:rPr>
                <w:rFonts w:cs="Arial"/>
                <w:sz w:val="18"/>
                <w:szCs w:val="18"/>
                <w:lang w:val="fi-FI" w:eastAsia="fi-FI"/>
              </w:rPr>
              <w:t>44</w:t>
            </w:r>
          </w:p>
        </w:tc>
        <w:tc>
          <w:tcPr>
            <w:tcW w:w="1417" w:type="dxa"/>
            <w:vAlign w:val="center"/>
          </w:tcPr>
          <w:p w:rsidR="00C8450C" w:rsidRPr="00237177" w:rsidRDefault="00C8450C" w:rsidP="00237177">
            <w:pPr>
              <w:ind w:left="426"/>
              <w:jc w:val="right"/>
              <w:rPr>
                <w:rFonts w:cs="Arial"/>
                <w:sz w:val="18"/>
                <w:szCs w:val="18"/>
              </w:rPr>
            </w:pPr>
            <w:r w:rsidRPr="00237177">
              <w:rPr>
                <w:rFonts w:cs="Arial"/>
                <w:sz w:val="18"/>
                <w:szCs w:val="18"/>
              </w:rPr>
              <w:t>17</w:t>
            </w:r>
            <w:r w:rsidR="008C4D25">
              <w:rPr>
                <w:rFonts w:cs="Arial"/>
                <w:sz w:val="18"/>
                <w:szCs w:val="18"/>
              </w:rPr>
              <w:t>,</w:t>
            </w:r>
            <w:r w:rsidRPr="00237177">
              <w:rPr>
                <w:rFonts w:cs="Arial"/>
                <w:sz w:val="18"/>
                <w:szCs w:val="18"/>
              </w:rPr>
              <w:t>471</w:t>
            </w:r>
          </w:p>
        </w:tc>
        <w:tc>
          <w:tcPr>
            <w:tcW w:w="1418" w:type="dxa"/>
            <w:noWrap/>
            <w:vAlign w:val="center"/>
          </w:tcPr>
          <w:p w:rsidR="00C8450C" w:rsidRPr="00237177" w:rsidRDefault="00C8450C" w:rsidP="00237177">
            <w:pPr>
              <w:ind w:left="426"/>
              <w:jc w:val="right"/>
              <w:rPr>
                <w:rFonts w:cs="Arial"/>
                <w:sz w:val="18"/>
                <w:szCs w:val="18"/>
              </w:rPr>
            </w:pPr>
            <w:r w:rsidRPr="00237177">
              <w:rPr>
                <w:rFonts w:cs="Arial"/>
                <w:sz w:val="18"/>
                <w:szCs w:val="18"/>
              </w:rPr>
              <w:t>-1</w:t>
            </w:r>
            <w:r w:rsidR="008C4D25">
              <w:rPr>
                <w:rFonts w:cs="Arial"/>
                <w:sz w:val="18"/>
                <w:szCs w:val="18"/>
              </w:rPr>
              <w:t>,</w:t>
            </w:r>
            <w:r w:rsidRPr="00237177">
              <w:rPr>
                <w:rFonts w:cs="Arial"/>
                <w:sz w:val="18"/>
                <w:szCs w:val="18"/>
              </w:rPr>
              <w:t>136</w:t>
            </w:r>
          </w:p>
        </w:tc>
        <w:tc>
          <w:tcPr>
            <w:tcW w:w="1275" w:type="dxa"/>
            <w:noWrap/>
            <w:vAlign w:val="center"/>
          </w:tcPr>
          <w:p w:rsidR="00C8450C" w:rsidRPr="00237177" w:rsidRDefault="00C8450C" w:rsidP="00237177">
            <w:pPr>
              <w:jc w:val="right"/>
              <w:rPr>
                <w:rFonts w:cs="Arial"/>
                <w:sz w:val="18"/>
                <w:szCs w:val="18"/>
                <w:lang w:val="fi-FI" w:eastAsia="fi-FI"/>
              </w:rPr>
            </w:pPr>
            <w:proofErr w:type="gramStart"/>
            <w:r w:rsidRPr="00237177">
              <w:rPr>
                <w:rFonts w:cs="Arial"/>
                <w:sz w:val="18"/>
                <w:szCs w:val="18"/>
                <w:lang w:val="fi-FI" w:eastAsia="fi-FI"/>
              </w:rPr>
              <w:t>-</w:t>
            </w:r>
            <w:proofErr w:type="gramEnd"/>
            <w:r w:rsidRPr="00237177">
              <w:rPr>
                <w:rFonts w:cs="Arial"/>
                <w:sz w:val="18"/>
                <w:szCs w:val="18"/>
                <w:lang w:val="fi-FI" w:eastAsia="fi-FI"/>
              </w:rPr>
              <w:t>36</w:t>
            </w:r>
            <w:r w:rsidR="008C4D25">
              <w:rPr>
                <w:rFonts w:cs="Arial"/>
                <w:sz w:val="18"/>
                <w:szCs w:val="18"/>
                <w:lang w:val="fi-FI" w:eastAsia="fi-FI"/>
              </w:rPr>
              <w:t>,</w:t>
            </w:r>
            <w:r w:rsidRPr="00237177">
              <w:rPr>
                <w:rFonts w:cs="Arial"/>
                <w:sz w:val="18"/>
                <w:szCs w:val="18"/>
                <w:lang w:val="fi-FI" w:eastAsia="fi-FI"/>
              </w:rPr>
              <w:t>783</w:t>
            </w:r>
          </w:p>
        </w:tc>
        <w:tc>
          <w:tcPr>
            <w:tcW w:w="1134" w:type="dxa"/>
            <w:noWrap/>
            <w:vAlign w:val="center"/>
          </w:tcPr>
          <w:p w:rsidR="00C8450C" w:rsidRPr="00237177" w:rsidRDefault="00C8450C" w:rsidP="00237177">
            <w:pPr>
              <w:ind w:left="426"/>
              <w:jc w:val="right"/>
              <w:rPr>
                <w:rFonts w:cs="Arial"/>
                <w:sz w:val="18"/>
                <w:szCs w:val="18"/>
                <w:lang w:val="fi-FI" w:eastAsia="fi-FI"/>
              </w:rPr>
            </w:pPr>
            <w:r w:rsidRPr="00237177">
              <w:rPr>
                <w:rFonts w:cs="Arial"/>
                <w:sz w:val="18"/>
                <w:szCs w:val="18"/>
                <w:lang w:val="fi-FI" w:eastAsia="fi-FI"/>
              </w:rPr>
              <w:t>83</w:t>
            </w:r>
          </w:p>
        </w:tc>
      </w:tr>
      <w:tr w:rsidR="00DC694B" w:rsidRPr="008951BF" w:rsidTr="005B63E9">
        <w:trPr>
          <w:trHeight w:val="225"/>
        </w:trPr>
        <w:tc>
          <w:tcPr>
            <w:tcW w:w="2518" w:type="dxa"/>
            <w:noWrap/>
          </w:tcPr>
          <w:p w:rsidR="00721976" w:rsidRPr="00721976" w:rsidRDefault="00721976" w:rsidP="00F923C3">
            <w:pPr>
              <w:rPr>
                <w:rFonts w:cs="Arial"/>
                <w:sz w:val="20"/>
                <w:lang w:eastAsia="fi-FI"/>
              </w:rPr>
            </w:pPr>
          </w:p>
        </w:tc>
        <w:tc>
          <w:tcPr>
            <w:tcW w:w="1418" w:type="dxa"/>
            <w:noWrap/>
            <w:vAlign w:val="center"/>
          </w:tcPr>
          <w:p w:rsidR="00721976" w:rsidRPr="005B63E9" w:rsidRDefault="00721976" w:rsidP="00DC694B">
            <w:pPr>
              <w:ind w:left="426"/>
              <w:jc w:val="right"/>
              <w:rPr>
                <w:rFonts w:cs="Arial"/>
                <w:sz w:val="18"/>
                <w:szCs w:val="18"/>
                <w:lang w:val="fi-FI" w:eastAsia="fi-FI"/>
              </w:rPr>
            </w:pPr>
          </w:p>
        </w:tc>
        <w:tc>
          <w:tcPr>
            <w:tcW w:w="1134" w:type="dxa"/>
            <w:noWrap/>
            <w:vAlign w:val="center"/>
          </w:tcPr>
          <w:p w:rsidR="00721976" w:rsidRPr="005B63E9" w:rsidRDefault="00721976" w:rsidP="00DC694B">
            <w:pPr>
              <w:ind w:left="426"/>
              <w:jc w:val="right"/>
              <w:rPr>
                <w:rFonts w:cs="Arial"/>
                <w:sz w:val="18"/>
                <w:szCs w:val="18"/>
                <w:lang w:val="fi-FI" w:eastAsia="fi-FI"/>
              </w:rPr>
            </w:pPr>
          </w:p>
        </w:tc>
        <w:tc>
          <w:tcPr>
            <w:tcW w:w="1417" w:type="dxa"/>
            <w:vAlign w:val="center"/>
          </w:tcPr>
          <w:p w:rsidR="00721976" w:rsidRPr="005B63E9" w:rsidRDefault="00721976" w:rsidP="00DC694B">
            <w:pPr>
              <w:ind w:left="426"/>
              <w:jc w:val="right"/>
              <w:rPr>
                <w:rFonts w:cs="Arial"/>
                <w:sz w:val="18"/>
                <w:szCs w:val="18"/>
                <w:lang w:val="fi-FI" w:eastAsia="fi-FI"/>
              </w:rPr>
            </w:pPr>
          </w:p>
        </w:tc>
        <w:tc>
          <w:tcPr>
            <w:tcW w:w="1418" w:type="dxa"/>
            <w:noWrap/>
            <w:vAlign w:val="center"/>
          </w:tcPr>
          <w:p w:rsidR="00721976" w:rsidRPr="005B63E9" w:rsidRDefault="00721976" w:rsidP="00DC694B">
            <w:pPr>
              <w:ind w:left="426"/>
              <w:jc w:val="right"/>
              <w:rPr>
                <w:rFonts w:cs="Arial"/>
                <w:sz w:val="18"/>
                <w:szCs w:val="18"/>
                <w:lang w:val="fi-FI" w:eastAsia="fi-FI"/>
              </w:rPr>
            </w:pPr>
          </w:p>
        </w:tc>
        <w:tc>
          <w:tcPr>
            <w:tcW w:w="1275" w:type="dxa"/>
            <w:noWrap/>
            <w:vAlign w:val="center"/>
          </w:tcPr>
          <w:p w:rsidR="00721976" w:rsidRPr="005B63E9" w:rsidRDefault="00721976" w:rsidP="00DC694B">
            <w:pPr>
              <w:ind w:left="426"/>
              <w:jc w:val="right"/>
              <w:rPr>
                <w:rFonts w:cs="Arial"/>
                <w:sz w:val="18"/>
                <w:szCs w:val="18"/>
                <w:lang w:val="fi-FI" w:eastAsia="fi-FI"/>
              </w:rPr>
            </w:pPr>
          </w:p>
        </w:tc>
        <w:tc>
          <w:tcPr>
            <w:tcW w:w="1134" w:type="dxa"/>
            <w:noWrap/>
            <w:vAlign w:val="center"/>
          </w:tcPr>
          <w:p w:rsidR="00721976" w:rsidRPr="005B63E9" w:rsidRDefault="00721976" w:rsidP="00DC694B">
            <w:pPr>
              <w:ind w:left="426"/>
              <w:jc w:val="right"/>
              <w:rPr>
                <w:rFonts w:cs="Arial"/>
                <w:sz w:val="18"/>
                <w:szCs w:val="18"/>
                <w:lang w:val="fi-FI" w:eastAsia="fi-FI"/>
              </w:rPr>
            </w:pPr>
          </w:p>
        </w:tc>
      </w:tr>
      <w:tr w:rsidR="00C8450C" w:rsidRPr="00BF763D" w:rsidTr="005B63E9">
        <w:trPr>
          <w:trHeight w:val="225"/>
        </w:trPr>
        <w:tc>
          <w:tcPr>
            <w:tcW w:w="2518" w:type="dxa"/>
            <w:noWrap/>
          </w:tcPr>
          <w:p w:rsidR="00C8450C" w:rsidRPr="00BF763D" w:rsidRDefault="00C8450C" w:rsidP="00C8450C">
            <w:pPr>
              <w:rPr>
                <w:rFonts w:cs="Arial"/>
                <w:sz w:val="20"/>
                <w:lang w:eastAsia="fi-FI"/>
              </w:rPr>
            </w:pPr>
            <w:r w:rsidRPr="00BF763D">
              <w:rPr>
                <w:rFonts w:cs="Arial"/>
                <w:sz w:val="20"/>
                <w:lang w:eastAsia="fi-FI"/>
              </w:rPr>
              <w:t>Equity at 1 January 2015</w:t>
            </w:r>
          </w:p>
        </w:tc>
        <w:tc>
          <w:tcPr>
            <w:tcW w:w="1418" w:type="dxa"/>
            <w:noWrap/>
            <w:vAlign w:val="center"/>
          </w:tcPr>
          <w:p w:rsidR="00C8450C" w:rsidRPr="00BF763D" w:rsidRDefault="00C8450C" w:rsidP="00237177">
            <w:pPr>
              <w:ind w:left="426"/>
              <w:jc w:val="right"/>
              <w:rPr>
                <w:rFonts w:cs="Arial"/>
                <w:sz w:val="18"/>
                <w:szCs w:val="18"/>
                <w:lang w:val="fi-FI" w:eastAsia="fi-FI"/>
              </w:rPr>
            </w:pPr>
            <w:r w:rsidRPr="00BF763D">
              <w:rPr>
                <w:rFonts w:cs="Arial"/>
                <w:sz w:val="18"/>
                <w:szCs w:val="18"/>
                <w:lang w:val="fi-FI" w:eastAsia="fi-FI"/>
              </w:rPr>
              <w:t>20</w:t>
            </w:r>
            <w:r w:rsidR="008C4D25">
              <w:rPr>
                <w:rFonts w:cs="Arial"/>
                <w:sz w:val="18"/>
                <w:szCs w:val="18"/>
                <w:lang w:val="fi-FI" w:eastAsia="fi-FI"/>
              </w:rPr>
              <w:t>,</w:t>
            </w:r>
            <w:r w:rsidRPr="00BF763D">
              <w:rPr>
                <w:rFonts w:cs="Arial"/>
                <w:sz w:val="18"/>
                <w:szCs w:val="18"/>
                <w:lang w:val="fi-FI" w:eastAsia="fi-FI"/>
              </w:rPr>
              <w:t>487</w:t>
            </w:r>
          </w:p>
        </w:tc>
        <w:tc>
          <w:tcPr>
            <w:tcW w:w="1134" w:type="dxa"/>
            <w:noWrap/>
            <w:vAlign w:val="center"/>
          </w:tcPr>
          <w:p w:rsidR="00C8450C" w:rsidRPr="00BF763D" w:rsidRDefault="00C8450C" w:rsidP="00237177">
            <w:pPr>
              <w:ind w:left="426"/>
              <w:jc w:val="right"/>
              <w:rPr>
                <w:rFonts w:cs="Arial"/>
                <w:sz w:val="18"/>
                <w:szCs w:val="18"/>
                <w:lang w:val="fi-FI" w:eastAsia="fi-FI"/>
              </w:rPr>
            </w:pPr>
            <w:r w:rsidRPr="00BF763D">
              <w:rPr>
                <w:rFonts w:cs="Arial"/>
                <w:sz w:val="18"/>
                <w:szCs w:val="18"/>
                <w:lang w:val="fi-FI" w:eastAsia="fi-FI"/>
              </w:rPr>
              <w:t>44</w:t>
            </w:r>
          </w:p>
        </w:tc>
        <w:tc>
          <w:tcPr>
            <w:tcW w:w="1417" w:type="dxa"/>
            <w:vAlign w:val="center"/>
          </w:tcPr>
          <w:p w:rsidR="00C8450C" w:rsidRPr="00BF763D" w:rsidRDefault="00C8450C" w:rsidP="00237177">
            <w:pPr>
              <w:ind w:left="426"/>
              <w:jc w:val="right"/>
              <w:rPr>
                <w:rFonts w:cs="Arial"/>
                <w:sz w:val="18"/>
                <w:szCs w:val="18"/>
                <w:lang w:val="fi-FI" w:eastAsia="fi-FI"/>
              </w:rPr>
            </w:pPr>
            <w:r w:rsidRPr="00BF763D">
              <w:rPr>
                <w:rFonts w:cs="Arial"/>
                <w:sz w:val="18"/>
                <w:szCs w:val="18"/>
                <w:lang w:val="fi-FI" w:eastAsia="fi-FI"/>
              </w:rPr>
              <w:t>17</w:t>
            </w:r>
            <w:r w:rsidR="008C4D25">
              <w:rPr>
                <w:rFonts w:cs="Arial"/>
                <w:sz w:val="18"/>
                <w:szCs w:val="18"/>
                <w:lang w:val="fi-FI" w:eastAsia="fi-FI"/>
              </w:rPr>
              <w:t>,</w:t>
            </w:r>
            <w:r w:rsidRPr="00BF763D">
              <w:rPr>
                <w:rFonts w:cs="Arial"/>
                <w:sz w:val="18"/>
                <w:szCs w:val="18"/>
                <w:lang w:val="fi-FI" w:eastAsia="fi-FI"/>
              </w:rPr>
              <w:t>471</w:t>
            </w:r>
          </w:p>
        </w:tc>
        <w:tc>
          <w:tcPr>
            <w:tcW w:w="1418" w:type="dxa"/>
            <w:noWrap/>
            <w:vAlign w:val="center"/>
          </w:tcPr>
          <w:p w:rsidR="00C8450C" w:rsidRPr="00BF763D" w:rsidRDefault="00C8450C" w:rsidP="00237177">
            <w:pPr>
              <w:ind w:left="426"/>
              <w:jc w:val="right"/>
              <w:rPr>
                <w:rFonts w:cs="Arial"/>
                <w:sz w:val="18"/>
                <w:szCs w:val="18"/>
                <w:lang w:val="fi-FI" w:eastAsia="fi-FI"/>
              </w:rPr>
            </w:pPr>
            <w:proofErr w:type="gramStart"/>
            <w:r w:rsidRPr="00BF763D">
              <w:rPr>
                <w:rFonts w:cs="Arial"/>
                <w:sz w:val="18"/>
                <w:szCs w:val="18"/>
                <w:lang w:val="fi-FI" w:eastAsia="fi-FI"/>
              </w:rPr>
              <w:t>-</w:t>
            </w:r>
            <w:proofErr w:type="gramEnd"/>
            <w:r w:rsidRPr="00BF763D">
              <w:rPr>
                <w:rFonts w:cs="Arial"/>
                <w:sz w:val="18"/>
                <w:szCs w:val="18"/>
                <w:lang w:val="fi-FI" w:eastAsia="fi-FI"/>
              </w:rPr>
              <w:t>888</w:t>
            </w:r>
          </w:p>
        </w:tc>
        <w:tc>
          <w:tcPr>
            <w:tcW w:w="1275" w:type="dxa"/>
            <w:noWrap/>
            <w:vAlign w:val="center"/>
          </w:tcPr>
          <w:p w:rsidR="00C8450C" w:rsidRPr="00BF763D" w:rsidRDefault="00C8450C" w:rsidP="00237177">
            <w:pPr>
              <w:jc w:val="right"/>
              <w:rPr>
                <w:rFonts w:cs="Arial"/>
                <w:sz w:val="18"/>
                <w:szCs w:val="18"/>
                <w:lang w:val="fi-FI" w:eastAsia="fi-FI"/>
              </w:rPr>
            </w:pPr>
            <w:proofErr w:type="gramStart"/>
            <w:r w:rsidRPr="00BF763D">
              <w:rPr>
                <w:rFonts w:cs="Arial"/>
                <w:sz w:val="18"/>
                <w:szCs w:val="18"/>
                <w:lang w:val="fi-FI" w:eastAsia="fi-FI"/>
              </w:rPr>
              <w:t>-</w:t>
            </w:r>
            <w:proofErr w:type="gramEnd"/>
            <w:r w:rsidRPr="00BF763D">
              <w:rPr>
                <w:rFonts w:cs="Arial"/>
                <w:sz w:val="18"/>
                <w:szCs w:val="18"/>
                <w:lang w:val="fi-FI" w:eastAsia="fi-FI"/>
              </w:rPr>
              <w:t>35</w:t>
            </w:r>
            <w:r w:rsidR="008C4D25">
              <w:rPr>
                <w:rFonts w:cs="Arial"/>
                <w:sz w:val="18"/>
                <w:szCs w:val="18"/>
                <w:lang w:val="fi-FI" w:eastAsia="fi-FI"/>
              </w:rPr>
              <w:t>,</w:t>
            </w:r>
            <w:r w:rsidRPr="00BF763D">
              <w:rPr>
                <w:rFonts w:cs="Arial"/>
                <w:sz w:val="18"/>
                <w:szCs w:val="18"/>
                <w:lang w:val="fi-FI" w:eastAsia="fi-FI"/>
              </w:rPr>
              <w:t>687</w:t>
            </w:r>
          </w:p>
        </w:tc>
        <w:tc>
          <w:tcPr>
            <w:tcW w:w="1134" w:type="dxa"/>
            <w:noWrap/>
            <w:vAlign w:val="center"/>
          </w:tcPr>
          <w:p w:rsidR="00C8450C" w:rsidRPr="00BF763D" w:rsidRDefault="00C8450C" w:rsidP="00237177">
            <w:pPr>
              <w:jc w:val="right"/>
              <w:rPr>
                <w:rFonts w:cs="Arial"/>
                <w:sz w:val="18"/>
                <w:szCs w:val="18"/>
                <w:lang w:val="fi-FI" w:eastAsia="fi-FI"/>
              </w:rPr>
            </w:pPr>
            <w:r w:rsidRPr="00BF763D">
              <w:rPr>
                <w:rFonts w:cs="Arial"/>
                <w:sz w:val="18"/>
                <w:szCs w:val="18"/>
                <w:lang w:val="fi-FI" w:eastAsia="fi-FI"/>
              </w:rPr>
              <w:t>1</w:t>
            </w:r>
            <w:r w:rsidR="008C4D25">
              <w:rPr>
                <w:rFonts w:cs="Arial"/>
                <w:sz w:val="18"/>
                <w:szCs w:val="18"/>
                <w:lang w:val="fi-FI" w:eastAsia="fi-FI"/>
              </w:rPr>
              <w:t>,</w:t>
            </w:r>
            <w:r w:rsidRPr="00BF763D">
              <w:rPr>
                <w:rFonts w:cs="Arial"/>
                <w:sz w:val="18"/>
                <w:szCs w:val="18"/>
                <w:lang w:val="fi-FI" w:eastAsia="fi-FI"/>
              </w:rPr>
              <w:t>427</w:t>
            </w:r>
          </w:p>
        </w:tc>
      </w:tr>
      <w:tr w:rsidR="00C8450C" w:rsidRPr="008951BF" w:rsidTr="00237177">
        <w:trPr>
          <w:trHeight w:val="225"/>
        </w:trPr>
        <w:tc>
          <w:tcPr>
            <w:tcW w:w="2518" w:type="dxa"/>
            <w:noWrap/>
          </w:tcPr>
          <w:p w:rsidR="00C8450C" w:rsidRPr="00721976" w:rsidRDefault="00C8450C" w:rsidP="00F923C3">
            <w:pPr>
              <w:rPr>
                <w:rFonts w:cs="Arial"/>
                <w:sz w:val="20"/>
                <w:lang w:eastAsia="fi-FI"/>
              </w:rPr>
            </w:pPr>
            <w:r w:rsidRPr="00721976">
              <w:rPr>
                <w:rFonts w:cs="Arial"/>
                <w:sz w:val="20"/>
                <w:lang w:eastAsia="fi-FI"/>
              </w:rPr>
              <w:t>Total comprehensive income</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134"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417" w:type="dxa"/>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275" w:type="dxa"/>
            <w:noWrap/>
          </w:tcPr>
          <w:p w:rsidR="00C8450C" w:rsidRPr="00F131CF" w:rsidRDefault="00C8450C" w:rsidP="00237177">
            <w:pPr>
              <w:ind w:left="426"/>
              <w:jc w:val="right"/>
              <w:rPr>
                <w:rFonts w:cs="Arial"/>
                <w:sz w:val="18"/>
                <w:szCs w:val="18"/>
                <w:lang w:val="fi-FI" w:eastAsia="fi-FI"/>
              </w:rPr>
            </w:pPr>
            <w:r w:rsidRPr="00F131CF">
              <w:rPr>
                <w:rFonts w:cs="Arial"/>
                <w:sz w:val="18"/>
                <w:szCs w:val="18"/>
                <w:lang w:val="fi-FI" w:eastAsia="fi-FI"/>
              </w:rPr>
              <w:t>845</w:t>
            </w:r>
          </w:p>
        </w:tc>
        <w:tc>
          <w:tcPr>
            <w:tcW w:w="1134" w:type="dxa"/>
            <w:noWrap/>
          </w:tcPr>
          <w:p w:rsidR="00C8450C" w:rsidRPr="00F131CF" w:rsidRDefault="00C8450C" w:rsidP="00237177">
            <w:pPr>
              <w:ind w:left="426"/>
              <w:jc w:val="right"/>
              <w:rPr>
                <w:rFonts w:cs="Arial"/>
                <w:sz w:val="18"/>
                <w:szCs w:val="18"/>
                <w:lang w:val="fi-FI" w:eastAsia="fi-FI"/>
              </w:rPr>
            </w:pPr>
            <w:r w:rsidRPr="00F131CF">
              <w:rPr>
                <w:rFonts w:cs="Arial"/>
                <w:sz w:val="18"/>
                <w:szCs w:val="18"/>
                <w:lang w:val="fi-FI" w:eastAsia="fi-FI"/>
              </w:rPr>
              <w:t>845</w:t>
            </w:r>
          </w:p>
        </w:tc>
      </w:tr>
      <w:tr w:rsidR="00C8450C" w:rsidRPr="008951BF" w:rsidTr="00237177">
        <w:trPr>
          <w:trHeight w:val="225"/>
        </w:trPr>
        <w:tc>
          <w:tcPr>
            <w:tcW w:w="2518" w:type="dxa"/>
            <w:noWrap/>
          </w:tcPr>
          <w:p w:rsidR="00C8450C" w:rsidRPr="00721976" w:rsidRDefault="00C8450C" w:rsidP="00F923C3">
            <w:pPr>
              <w:rPr>
                <w:rFonts w:cs="Arial"/>
                <w:sz w:val="20"/>
                <w:lang w:eastAsia="fi-FI"/>
              </w:rPr>
            </w:pPr>
            <w:r w:rsidRPr="00721976">
              <w:rPr>
                <w:rFonts w:cs="Arial"/>
                <w:sz w:val="20"/>
                <w:lang w:eastAsia="fi-FI"/>
              </w:rPr>
              <w:t>Currency translation differences</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134"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417" w:type="dxa"/>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418" w:type="dxa"/>
            <w:noWrap/>
          </w:tcPr>
          <w:p w:rsidR="00C8450C" w:rsidRPr="00F131CF" w:rsidRDefault="00C8450C" w:rsidP="00237177">
            <w:pPr>
              <w:ind w:left="426"/>
              <w:jc w:val="right"/>
              <w:rPr>
                <w:rFonts w:cs="Arial"/>
                <w:sz w:val="18"/>
                <w:szCs w:val="18"/>
                <w:lang w:val="fi-FI" w:eastAsia="fi-FI"/>
              </w:rPr>
            </w:pPr>
            <w:r w:rsidRPr="00F131CF">
              <w:rPr>
                <w:rFonts w:cs="Arial"/>
                <w:sz w:val="18"/>
                <w:szCs w:val="18"/>
                <w:lang w:val="fi-FI" w:eastAsia="fi-FI"/>
              </w:rPr>
              <w:t>458</w:t>
            </w:r>
          </w:p>
        </w:tc>
        <w:tc>
          <w:tcPr>
            <w:tcW w:w="1275" w:type="dxa"/>
            <w:noWrap/>
          </w:tcPr>
          <w:p w:rsidR="00C8450C" w:rsidRPr="00F131CF" w:rsidRDefault="00C8450C" w:rsidP="00237177">
            <w:pPr>
              <w:ind w:left="426"/>
              <w:jc w:val="right"/>
              <w:rPr>
                <w:rFonts w:cs="Arial"/>
                <w:sz w:val="18"/>
                <w:szCs w:val="18"/>
                <w:lang w:val="fi-FI" w:eastAsia="fi-FI"/>
              </w:rPr>
            </w:pPr>
            <w:proofErr w:type="gramStart"/>
            <w:r w:rsidRPr="00F131CF">
              <w:rPr>
                <w:rFonts w:cs="Arial"/>
                <w:sz w:val="18"/>
                <w:szCs w:val="18"/>
                <w:lang w:val="fi-FI" w:eastAsia="fi-FI"/>
              </w:rPr>
              <w:t>-</w:t>
            </w:r>
            <w:proofErr w:type="gramEnd"/>
            <w:r w:rsidRPr="00F131CF">
              <w:rPr>
                <w:rFonts w:cs="Arial"/>
                <w:sz w:val="18"/>
                <w:szCs w:val="18"/>
                <w:lang w:val="fi-FI" w:eastAsia="fi-FI"/>
              </w:rPr>
              <w:t>91</w:t>
            </w:r>
          </w:p>
        </w:tc>
        <w:tc>
          <w:tcPr>
            <w:tcW w:w="1134" w:type="dxa"/>
            <w:noWrap/>
          </w:tcPr>
          <w:p w:rsidR="00C8450C" w:rsidRPr="00F131CF" w:rsidRDefault="00C8450C" w:rsidP="00237177">
            <w:pPr>
              <w:ind w:left="426"/>
              <w:jc w:val="right"/>
              <w:rPr>
                <w:rFonts w:cs="Arial"/>
                <w:sz w:val="18"/>
                <w:szCs w:val="18"/>
                <w:lang w:val="fi-FI" w:eastAsia="fi-FI"/>
              </w:rPr>
            </w:pPr>
            <w:r w:rsidRPr="00F131CF">
              <w:rPr>
                <w:rFonts w:cs="Arial"/>
                <w:sz w:val="18"/>
                <w:szCs w:val="18"/>
                <w:lang w:val="fi-FI" w:eastAsia="fi-FI"/>
              </w:rPr>
              <w:t>368</w:t>
            </w:r>
          </w:p>
        </w:tc>
      </w:tr>
      <w:tr w:rsidR="00C8450C" w:rsidRPr="008951BF" w:rsidTr="00237177">
        <w:trPr>
          <w:trHeight w:val="225"/>
        </w:trPr>
        <w:tc>
          <w:tcPr>
            <w:tcW w:w="2518" w:type="dxa"/>
            <w:noWrap/>
          </w:tcPr>
          <w:p w:rsidR="00C8450C" w:rsidRPr="00721976" w:rsidRDefault="00BD14A6" w:rsidP="00C328CC">
            <w:pPr>
              <w:rPr>
                <w:rFonts w:cs="Arial"/>
                <w:sz w:val="20"/>
                <w:lang w:eastAsia="fi-FI"/>
              </w:rPr>
            </w:pPr>
            <w:r>
              <w:rPr>
                <w:rFonts w:cs="Arial"/>
                <w:sz w:val="20"/>
                <w:lang w:eastAsia="fi-FI"/>
              </w:rPr>
              <w:t>Rights</w:t>
            </w:r>
            <w:r w:rsidR="00C8450C" w:rsidRPr="00721976">
              <w:rPr>
                <w:rFonts w:cs="Arial"/>
                <w:sz w:val="20"/>
                <w:lang w:eastAsia="fi-FI"/>
              </w:rPr>
              <w:t xml:space="preserve"> issue</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134"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417" w:type="dxa"/>
          </w:tcPr>
          <w:p w:rsidR="00C8450C" w:rsidRPr="00F131CF" w:rsidRDefault="00C8450C" w:rsidP="00237177">
            <w:pPr>
              <w:ind w:left="426"/>
              <w:jc w:val="right"/>
              <w:rPr>
                <w:rFonts w:cs="Arial"/>
                <w:sz w:val="18"/>
                <w:szCs w:val="18"/>
                <w:lang w:val="fi-FI" w:eastAsia="fi-FI"/>
              </w:rPr>
            </w:pPr>
            <w:r w:rsidRPr="00F131CF">
              <w:rPr>
                <w:rFonts w:cs="Arial"/>
                <w:sz w:val="18"/>
                <w:szCs w:val="18"/>
                <w:lang w:val="fi-FI" w:eastAsia="fi-FI"/>
              </w:rPr>
              <w:t>2</w:t>
            </w:r>
            <w:r w:rsidR="008C4D25">
              <w:rPr>
                <w:rFonts w:cs="Arial"/>
                <w:sz w:val="18"/>
                <w:szCs w:val="18"/>
                <w:lang w:val="fi-FI" w:eastAsia="fi-FI"/>
              </w:rPr>
              <w:t>,</w:t>
            </w:r>
            <w:r w:rsidRPr="00F131CF">
              <w:rPr>
                <w:rFonts w:cs="Arial"/>
                <w:sz w:val="18"/>
                <w:szCs w:val="18"/>
                <w:lang w:val="fi-FI" w:eastAsia="fi-FI"/>
              </w:rPr>
              <w:t>182</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275"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134" w:type="dxa"/>
            <w:noWrap/>
          </w:tcPr>
          <w:p w:rsidR="00C8450C" w:rsidRPr="00F131CF" w:rsidRDefault="00C8450C" w:rsidP="00237177">
            <w:pPr>
              <w:ind w:left="426"/>
              <w:jc w:val="right"/>
              <w:rPr>
                <w:rFonts w:cs="Arial"/>
                <w:sz w:val="18"/>
                <w:szCs w:val="18"/>
                <w:lang w:val="fi-FI" w:eastAsia="fi-FI"/>
              </w:rPr>
            </w:pPr>
            <w:r w:rsidRPr="00F131CF">
              <w:rPr>
                <w:rFonts w:cs="Arial"/>
                <w:sz w:val="18"/>
                <w:szCs w:val="18"/>
                <w:lang w:val="fi-FI" w:eastAsia="fi-FI"/>
              </w:rPr>
              <w:t>2</w:t>
            </w:r>
            <w:r w:rsidR="008C4D25">
              <w:rPr>
                <w:rFonts w:cs="Arial"/>
                <w:sz w:val="18"/>
                <w:szCs w:val="18"/>
                <w:lang w:val="fi-FI" w:eastAsia="fi-FI"/>
              </w:rPr>
              <w:t>,</w:t>
            </w:r>
            <w:r w:rsidRPr="00F131CF">
              <w:rPr>
                <w:rFonts w:cs="Arial"/>
                <w:sz w:val="18"/>
                <w:szCs w:val="18"/>
                <w:lang w:val="fi-FI" w:eastAsia="fi-FI"/>
              </w:rPr>
              <w:t>182</w:t>
            </w:r>
          </w:p>
        </w:tc>
      </w:tr>
      <w:tr w:rsidR="00C8450C" w:rsidRPr="008951BF" w:rsidTr="00237177">
        <w:trPr>
          <w:trHeight w:val="225"/>
        </w:trPr>
        <w:tc>
          <w:tcPr>
            <w:tcW w:w="2518" w:type="dxa"/>
            <w:noWrap/>
          </w:tcPr>
          <w:p w:rsidR="00C8450C" w:rsidRPr="00721976" w:rsidRDefault="00C8450C" w:rsidP="00F25050">
            <w:pPr>
              <w:rPr>
                <w:rFonts w:cs="Arial"/>
                <w:sz w:val="20"/>
                <w:lang w:eastAsia="fi-FI"/>
              </w:rPr>
            </w:pPr>
            <w:r>
              <w:rPr>
                <w:rFonts w:cs="Arial"/>
                <w:sz w:val="20"/>
                <w:lang w:eastAsia="fi-FI"/>
              </w:rPr>
              <w:t>Transaction cost for equity</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134"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417" w:type="dxa"/>
          </w:tcPr>
          <w:p w:rsidR="00C8450C" w:rsidRPr="00F131CF" w:rsidRDefault="00C8450C" w:rsidP="00237177">
            <w:pPr>
              <w:ind w:left="426"/>
              <w:jc w:val="right"/>
              <w:rPr>
                <w:rFonts w:cs="Arial"/>
                <w:sz w:val="18"/>
                <w:szCs w:val="18"/>
                <w:lang w:val="fi-FI" w:eastAsia="fi-FI"/>
              </w:rPr>
            </w:pPr>
            <w:proofErr w:type="gramStart"/>
            <w:r w:rsidRPr="00F131CF">
              <w:rPr>
                <w:rFonts w:cs="Arial"/>
                <w:sz w:val="18"/>
                <w:szCs w:val="18"/>
                <w:lang w:val="fi-FI" w:eastAsia="fi-FI"/>
              </w:rPr>
              <w:t>-</w:t>
            </w:r>
            <w:proofErr w:type="gramEnd"/>
            <w:r w:rsidRPr="00F131CF">
              <w:rPr>
                <w:rFonts w:cs="Arial"/>
                <w:sz w:val="18"/>
                <w:szCs w:val="18"/>
                <w:lang w:val="fi-FI" w:eastAsia="fi-FI"/>
              </w:rPr>
              <w:t>189</w:t>
            </w:r>
          </w:p>
        </w:tc>
        <w:tc>
          <w:tcPr>
            <w:tcW w:w="1418"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275" w:type="dxa"/>
            <w:noWrap/>
          </w:tcPr>
          <w:p w:rsidR="00C8450C" w:rsidRPr="00F131CF" w:rsidRDefault="00C8450C" w:rsidP="00237177">
            <w:pPr>
              <w:ind w:left="426"/>
              <w:jc w:val="right"/>
              <w:rPr>
                <w:rFonts w:cs="Arial"/>
                <w:sz w:val="18"/>
                <w:szCs w:val="18"/>
                <w:lang w:val="fi-FI" w:eastAsia="fi-FI"/>
              </w:rPr>
            </w:pPr>
            <w:r>
              <w:rPr>
                <w:rFonts w:cs="Arial"/>
                <w:sz w:val="18"/>
                <w:szCs w:val="18"/>
                <w:lang w:val="fi-FI" w:eastAsia="fi-FI"/>
              </w:rPr>
              <w:t>0</w:t>
            </w:r>
          </w:p>
        </w:tc>
        <w:tc>
          <w:tcPr>
            <w:tcW w:w="1134" w:type="dxa"/>
            <w:noWrap/>
          </w:tcPr>
          <w:p w:rsidR="00C8450C" w:rsidRPr="00F131CF" w:rsidRDefault="00C8450C" w:rsidP="00237177">
            <w:pPr>
              <w:ind w:left="426"/>
              <w:jc w:val="right"/>
              <w:rPr>
                <w:rFonts w:cs="Arial"/>
                <w:sz w:val="18"/>
                <w:szCs w:val="18"/>
                <w:lang w:val="fi-FI" w:eastAsia="fi-FI"/>
              </w:rPr>
            </w:pPr>
            <w:proofErr w:type="gramStart"/>
            <w:r w:rsidRPr="00F131CF">
              <w:rPr>
                <w:rFonts w:cs="Arial"/>
                <w:sz w:val="18"/>
                <w:szCs w:val="18"/>
                <w:lang w:val="fi-FI" w:eastAsia="fi-FI"/>
              </w:rPr>
              <w:t>-</w:t>
            </w:r>
            <w:proofErr w:type="gramEnd"/>
            <w:r w:rsidRPr="00F131CF">
              <w:rPr>
                <w:rFonts w:cs="Arial"/>
                <w:sz w:val="18"/>
                <w:szCs w:val="18"/>
                <w:lang w:val="fi-FI" w:eastAsia="fi-FI"/>
              </w:rPr>
              <w:t>189</w:t>
            </w:r>
          </w:p>
        </w:tc>
      </w:tr>
      <w:tr w:rsidR="00C8450C" w:rsidRPr="00BF763D" w:rsidTr="005B63E9">
        <w:trPr>
          <w:trHeight w:val="225"/>
        </w:trPr>
        <w:tc>
          <w:tcPr>
            <w:tcW w:w="2518" w:type="dxa"/>
            <w:noWrap/>
          </w:tcPr>
          <w:p w:rsidR="00C8450C" w:rsidRPr="00BF763D" w:rsidRDefault="00C8450C" w:rsidP="00BF763D">
            <w:pPr>
              <w:rPr>
                <w:rFonts w:cs="Arial"/>
                <w:sz w:val="20"/>
                <w:lang w:eastAsia="fi-FI"/>
              </w:rPr>
            </w:pPr>
            <w:r w:rsidRPr="00BF763D">
              <w:rPr>
                <w:rFonts w:cs="Arial"/>
                <w:sz w:val="20"/>
                <w:lang w:eastAsia="fi-FI"/>
              </w:rPr>
              <w:t xml:space="preserve">Equity at 30 June 2015 </w:t>
            </w:r>
          </w:p>
        </w:tc>
        <w:tc>
          <w:tcPr>
            <w:tcW w:w="1418" w:type="dxa"/>
            <w:noWrap/>
            <w:vAlign w:val="center"/>
          </w:tcPr>
          <w:p w:rsidR="00C8450C" w:rsidRPr="00BF763D" w:rsidRDefault="00C8450C" w:rsidP="00237177">
            <w:pPr>
              <w:ind w:left="426"/>
              <w:jc w:val="right"/>
              <w:rPr>
                <w:rFonts w:cs="Arial"/>
                <w:sz w:val="18"/>
                <w:szCs w:val="18"/>
                <w:lang w:val="fi-FI" w:eastAsia="fi-FI"/>
              </w:rPr>
            </w:pPr>
            <w:r w:rsidRPr="00BF763D">
              <w:rPr>
                <w:rFonts w:cs="Arial"/>
                <w:sz w:val="18"/>
                <w:szCs w:val="18"/>
                <w:lang w:val="fi-FI" w:eastAsia="fi-FI"/>
              </w:rPr>
              <w:t>20</w:t>
            </w:r>
            <w:r w:rsidR="008C4D25">
              <w:rPr>
                <w:rFonts w:cs="Arial"/>
                <w:sz w:val="18"/>
                <w:szCs w:val="18"/>
                <w:lang w:val="fi-FI" w:eastAsia="fi-FI"/>
              </w:rPr>
              <w:t>,</w:t>
            </w:r>
            <w:r w:rsidRPr="00BF763D">
              <w:rPr>
                <w:rFonts w:cs="Arial"/>
                <w:sz w:val="18"/>
                <w:szCs w:val="18"/>
                <w:lang w:val="fi-FI" w:eastAsia="fi-FI"/>
              </w:rPr>
              <w:t>487</w:t>
            </w:r>
          </w:p>
        </w:tc>
        <w:tc>
          <w:tcPr>
            <w:tcW w:w="1134" w:type="dxa"/>
            <w:noWrap/>
            <w:vAlign w:val="center"/>
          </w:tcPr>
          <w:p w:rsidR="00C8450C" w:rsidRPr="00BF763D" w:rsidRDefault="00C8450C" w:rsidP="00237177">
            <w:pPr>
              <w:ind w:left="426"/>
              <w:jc w:val="right"/>
              <w:rPr>
                <w:rFonts w:cs="Arial"/>
                <w:sz w:val="18"/>
                <w:szCs w:val="18"/>
                <w:lang w:val="fi-FI" w:eastAsia="fi-FI"/>
              </w:rPr>
            </w:pPr>
            <w:r w:rsidRPr="00BF763D">
              <w:rPr>
                <w:rFonts w:cs="Arial"/>
                <w:sz w:val="18"/>
                <w:szCs w:val="18"/>
                <w:lang w:val="fi-FI" w:eastAsia="fi-FI"/>
              </w:rPr>
              <w:t>44</w:t>
            </w:r>
          </w:p>
        </w:tc>
        <w:tc>
          <w:tcPr>
            <w:tcW w:w="1417" w:type="dxa"/>
            <w:vAlign w:val="center"/>
          </w:tcPr>
          <w:p w:rsidR="00C8450C" w:rsidRPr="00BF763D" w:rsidRDefault="00C8450C" w:rsidP="00237177">
            <w:pPr>
              <w:ind w:left="426"/>
              <w:jc w:val="right"/>
              <w:rPr>
                <w:rFonts w:cs="Arial"/>
                <w:sz w:val="18"/>
                <w:szCs w:val="18"/>
              </w:rPr>
            </w:pPr>
            <w:r w:rsidRPr="00BF763D">
              <w:rPr>
                <w:rFonts w:cs="Arial"/>
                <w:sz w:val="18"/>
                <w:szCs w:val="18"/>
              </w:rPr>
              <w:t>19</w:t>
            </w:r>
            <w:r w:rsidR="008C4D25">
              <w:rPr>
                <w:rFonts w:cs="Arial"/>
                <w:sz w:val="18"/>
                <w:szCs w:val="18"/>
              </w:rPr>
              <w:t>,</w:t>
            </w:r>
            <w:r w:rsidRPr="00BF763D">
              <w:rPr>
                <w:rFonts w:cs="Arial"/>
                <w:sz w:val="18"/>
                <w:szCs w:val="18"/>
              </w:rPr>
              <w:t>464</w:t>
            </w:r>
          </w:p>
        </w:tc>
        <w:tc>
          <w:tcPr>
            <w:tcW w:w="1418" w:type="dxa"/>
            <w:noWrap/>
            <w:vAlign w:val="center"/>
          </w:tcPr>
          <w:p w:rsidR="00C8450C" w:rsidRPr="00BF763D" w:rsidRDefault="00C8450C" w:rsidP="00237177">
            <w:pPr>
              <w:ind w:left="426"/>
              <w:jc w:val="right"/>
              <w:rPr>
                <w:rFonts w:cs="Arial"/>
                <w:sz w:val="18"/>
                <w:szCs w:val="18"/>
              </w:rPr>
            </w:pPr>
            <w:r w:rsidRPr="00BF763D">
              <w:rPr>
                <w:rFonts w:cs="Arial"/>
                <w:sz w:val="18"/>
                <w:szCs w:val="18"/>
              </w:rPr>
              <w:t>-429</w:t>
            </w:r>
          </w:p>
        </w:tc>
        <w:tc>
          <w:tcPr>
            <w:tcW w:w="1275" w:type="dxa"/>
            <w:noWrap/>
            <w:vAlign w:val="center"/>
          </w:tcPr>
          <w:p w:rsidR="00C8450C" w:rsidRPr="00BF763D" w:rsidRDefault="00C8450C" w:rsidP="00237177">
            <w:pPr>
              <w:jc w:val="right"/>
              <w:rPr>
                <w:rFonts w:cs="Arial"/>
                <w:sz w:val="18"/>
                <w:szCs w:val="18"/>
                <w:lang w:val="fi-FI" w:eastAsia="fi-FI"/>
              </w:rPr>
            </w:pPr>
            <w:proofErr w:type="gramStart"/>
            <w:r w:rsidRPr="00BF763D">
              <w:rPr>
                <w:rFonts w:cs="Arial"/>
                <w:sz w:val="18"/>
                <w:szCs w:val="18"/>
                <w:lang w:val="fi-FI" w:eastAsia="fi-FI"/>
              </w:rPr>
              <w:t>-</w:t>
            </w:r>
            <w:proofErr w:type="gramEnd"/>
            <w:r w:rsidRPr="00BF763D">
              <w:rPr>
                <w:rFonts w:cs="Arial"/>
                <w:sz w:val="18"/>
                <w:szCs w:val="18"/>
                <w:lang w:val="fi-FI" w:eastAsia="fi-FI"/>
              </w:rPr>
              <w:t>34</w:t>
            </w:r>
            <w:r w:rsidR="008C4D25">
              <w:rPr>
                <w:rFonts w:cs="Arial"/>
                <w:sz w:val="18"/>
                <w:szCs w:val="18"/>
                <w:lang w:val="fi-FI" w:eastAsia="fi-FI"/>
              </w:rPr>
              <w:t>,</w:t>
            </w:r>
            <w:r w:rsidRPr="00BF763D">
              <w:rPr>
                <w:rFonts w:cs="Arial"/>
                <w:sz w:val="18"/>
                <w:szCs w:val="18"/>
                <w:lang w:val="fi-FI" w:eastAsia="fi-FI"/>
              </w:rPr>
              <w:t>933</w:t>
            </w:r>
          </w:p>
        </w:tc>
        <w:tc>
          <w:tcPr>
            <w:tcW w:w="1134" w:type="dxa"/>
            <w:noWrap/>
            <w:vAlign w:val="center"/>
          </w:tcPr>
          <w:p w:rsidR="00C8450C" w:rsidRPr="00BF763D" w:rsidRDefault="00C8450C" w:rsidP="00237177">
            <w:pPr>
              <w:ind w:left="426"/>
              <w:jc w:val="right"/>
              <w:rPr>
                <w:rFonts w:cs="Arial"/>
                <w:sz w:val="18"/>
                <w:szCs w:val="18"/>
                <w:lang w:val="fi-FI" w:eastAsia="fi-FI"/>
              </w:rPr>
            </w:pPr>
            <w:r w:rsidRPr="00BF763D">
              <w:rPr>
                <w:rFonts w:cs="Arial"/>
                <w:sz w:val="18"/>
                <w:szCs w:val="18"/>
                <w:lang w:val="fi-FI" w:eastAsia="fi-FI"/>
              </w:rPr>
              <w:t>4</w:t>
            </w:r>
            <w:r w:rsidR="008C4D25">
              <w:rPr>
                <w:rFonts w:cs="Arial"/>
                <w:sz w:val="18"/>
                <w:szCs w:val="18"/>
                <w:lang w:val="fi-FI" w:eastAsia="fi-FI"/>
              </w:rPr>
              <w:t>,</w:t>
            </w:r>
            <w:r w:rsidRPr="00BF763D">
              <w:rPr>
                <w:rFonts w:cs="Arial"/>
                <w:sz w:val="18"/>
                <w:szCs w:val="18"/>
                <w:lang w:val="fi-FI" w:eastAsia="fi-FI"/>
              </w:rPr>
              <w:t>633</w:t>
            </w:r>
          </w:p>
        </w:tc>
      </w:tr>
    </w:tbl>
    <w:p w:rsidR="00A466B8" w:rsidRPr="008951BF" w:rsidRDefault="00A466B8" w:rsidP="00A466B8">
      <w:pPr>
        <w:rPr>
          <w:rFonts w:cs="Arial"/>
        </w:rPr>
      </w:pPr>
    </w:p>
    <w:p w:rsidR="00A466B8" w:rsidRPr="008951BF" w:rsidRDefault="00A466B8" w:rsidP="00A466B8">
      <w:pPr>
        <w:rPr>
          <w:rFonts w:cs="Arial"/>
        </w:rPr>
      </w:pPr>
    </w:p>
    <w:p w:rsidR="00A466B8" w:rsidRPr="008951BF" w:rsidRDefault="00A466B8" w:rsidP="00A466B8">
      <w:pPr>
        <w:rPr>
          <w:rFonts w:cs="Arial"/>
        </w:rPr>
      </w:pPr>
    </w:p>
    <w:p w:rsidR="00A466B8" w:rsidRDefault="00A466B8" w:rsidP="00A466B8">
      <w:pPr>
        <w:rPr>
          <w:rFonts w:cs="Arial"/>
        </w:rPr>
      </w:pPr>
      <w:r w:rsidRPr="008951BF">
        <w:rPr>
          <w:rFonts w:cs="Arial"/>
        </w:rPr>
        <w:br w:type="page"/>
      </w:r>
      <w:r w:rsidRPr="008951BF">
        <w:rPr>
          <w:rFonts w:cs="Arial"/>
        </w:rPr>
        <w:lastRenderedPageBreak/>
        <w:t>Annex 5</w:t>
      </w:r>
    </w:p>
    <w:p w:rsidR="00C31A67" w:rsidRPr="00C31A67" w:rsidRDefault="00C31A67" w:rsidP="00A466B8">
      <w:pPr>
        <w:rPr>
          <w:rFonts w:cs="Arial"/>
          <w:b/>
        </w:rPr>
      </w:pPr>
      <w:r w:rsidRPr="00C31A67">
        <w:rPr>
          <w:rFonts w:cs="Arial"/>
          <w:b/>
        </w:rPr>
        <w:t>GROUP KEY FIGURES AND CONTINGENT LIABILITIES (IFRS), CONTINUING OPERATIONS</w:t>
      </w:r>
    </w:p>
    <w:p w:rsidR="00A466B8" w:rsidRPr="008951BF" w:rsidRDefault="00A466B8" w:rsidP="00A466B8">
      <w:pPr>
        <w:rPr>
          <w:rFonts w:cs="Arial"/>
        </w:rPr>
      </w:pPr>
    </w:p>
    <w:tbl>
      <w:tblPr>
        <w:tblStyle w:val="TableList3"/>
        <w:tblW w:w="10029" w:type="dxa"/>
        <w:tblInd w:w="392" w:type="dxa"/>
        <w:tblLook w:val="0000" w:firstRow="0" w:lastRow="0" w:firstColumn="0" w:lastColumn="0" w:noHBand="0" w:noVBand="0"/>
      </w:tblPr>
      <w:tblGrid>
        <w:gridCol w:w="5171"/>
        <w:gridCol w:w="1755"/>
        <w:gridCol w:w="1643"/>
        <w:gridCol w:w="1460"/>
      </w:tblGrid>
      <w:tr w:rsidR="00BF763D" w:rsidRPr="003E3697" w:rsidTr="00BF763D">
        <w:trPr>
          <w:trHeight w:val="490"/>
        </w:trPr>
        <w:tc>
          <w:tcPr>
            <w:tcW w:w="5171" w:type="dxa"/>
            <w:noWrap/>
            <w:vAlign w:val="center"/>
          </w:tcPr>
          <w:p w:rsidR="00BF763D" w:rsidRDefault="00BF763D" w:rsidP="00BF763D">
            <w:pPr>
              <w:tabs>
                <w:tab w:val="left" w:pos="1550"/>
              </w:tabs>
              <w:rPr>
                <w:rFonts w:cs="Arial"/>
                <w:bCs/>
                <w:sz w:val="20"/>
                <w:lang w:eastAsia="fi-FI"/>
              </w:rPr>
            </w:pPr>
            <w:r>
              <w:rPr>
                <w:rFonts w:cs="Arial"/>
                <w:bCs/>
                <w:sz w:val="20"/>
                <w:lang w:eastAsia="fi-FI"/>
              </w:rPr>
              <w:t>(unaudited)</w:t>
            </w:r>
          </w:p>
        </w:tc>
        <w:tc>
          <w:tcPr>
            <w:tcW w:w="1755" w:type="dxa"/>
            <w:vAlign w:val="center"/>
          </w:tcPr>
          <w:p w:rsidR="00BF763D" w:rsidRDefault="00BF763D" w:rsidP="00237177">
            <w:pPr>
              <w:ind w:left="426"/>
              <w:jc w:val="right"/>
              <w:rPr>
                <w:rFonts w:cs="Arial"/>
                <w:b/>
                <w:sz w:val="20"/>
                <w:szCs w:val="20"/>
                <w:lang w:val="fi-FI"/>
              </w:rPr>
            </w:pPr>
            <w:r>
              <w:rPr>
                <w:rFonts w:cs="Arial"/>
                <w:b/>
                <w:sz w:val="20"/>
                <w:szCs w:val="20"/>
                <w:lang w:val="fi-FI"/>
              </w:rPr>
              <w:t>1-6/</w:t>
            </w:r>
            <w:r w:rsidRPr="00747871">
              <w:rPr>
                <w:rFonts w:cs="Arial"/>
                <w:b/>
                <w:sz w:val="20"/>
                <w:szCs w:val="20"/>
                <w:lang w:val="fi-FI"/>
              </w:rPr>
              <w:t>2015</w:t>
            </w:r>
          </w:p>
        </w:tc>
        <w:tc>
          <w:tcPr>
            <w:tcW w:w="1643" w:type="dxa"/>
            <w:vAlign w:val="center"/>
          </w:tcPr>
          <w:p w:rsidR="00BF763D" w:rsidRDefault="00BF763D" w:rsidP="00237177">
            <w:pPr>
              <w:ind w:left="426"/>
              <w:jc w:val="right"/>
              <w:rPr>
                <w:rFonts w:cs="Arial"/>
                <w:b/>
                <w:sz w:val="20"/>
                <w:szCs w:val="20"/>
                <w:lang w:val="fi-FI"/>
              </w:rPr>
            </w:pPr>
            <w:r>
              <w:rPr>
                <w:rFonts w:cs="Arial"/>
                <w:b/>
                <w:sz w:val="20"/>
                <w:szCs w:val="20"/>
                <w:lang w:val="fi-FI"/>
              </w:rPr>
              <w:t>1-6/</w:t>
            </w:r>
            <w:r w:rsidRPr="00747871">
              <w:rPr>
                <w:rFonts w:cs="Arial"/>
                <w:b/>
                <w:sz w:val="20"/>
                <w:szCs w:val="20"/>
                <w:lang w:val="fi-FI"/>
              </w:rPr>
              <w:t>2014</w:t>
            </w:r>
          </w:p>
        </w:tc>
        <w:tc>
          <w:tcPr>
            <w:tcW w:w="1460" w:type="dxa"/>
            <w:vAlign w:val="center"/>
          </w:tcPr>
          <w:p w:rsidR="00BF763D" w:rsidRDefault="00BF763D" w:rsidP="00BF763D">
            <w:pPr>
              <w:jc w:val="right"/>
              <w:rPr>
                <w:rFonts w:cs="Arial"/>
                <w:b/>
                <w:sz w:val="20"/>
                <w:szCs w:val="20"/>
                <w:lang w:val="fi-FI"/>
              </w:rPr>
            </w:pPr>
            <w:r>
              <w:rPr>
                <w:rFonts w:cs="Arial"/>
                <w:b/>
                <w:sz w:val="20"/>
                <w:szCs w:val="20"/>
                <w:lang w:val="fi-FI"/>
              </w:rPr>
              <w:t>1-12/</w:t>
            </w:r>
            <w:r w:rsidRPr="00747871">
              <w:rPr>
                <w:rFonts w:cs="Arial"/>
                <w:b/>
                <w:sz w:val="20"/>
                <w:szCs w:val="20"/>
                <w:lang w:val="fi-FI"/>
              </w:rPr>
              <w:t>2014</w:t>
            </w:r>
          </w:p>
        </w:tc>
      </w:tr>
      <w:tr w:rsidR="00C8450C" w:rsidRPr="003E3697" w:rsidTr="00BF763D">
        <w:trPr>
          <w:trHeight w:val="199"/>
        </w:trPr>
        <w:tc>
          <w:tcPr>
            <w:tcW w:w="5171" w:type="dxa"/>
            <w:tcBorders>
              <w:top w:val="single" w:sz="6" w:space="0" w:color="000000"/>
            </w:tcBorders>
            <w:noWrap/>
          </w:tcPr>
          <w:p w:rsidR="00C8450C" w:rsidRPr="003E3697" w:rsidRDefault="00C8450C" w:rsidP="00F923C3">
            <w:pPr>
              <w:tabs>
                <w:tab w:val="left" w:pos="1550"/>
              </w:tabs>
              <w:rPr>
                <w:rFonts w:cs="Arial"/>
                <w:sz w:val="20"/>
                <w:lang w:eastAsia="fi-FI"/>
              </w:rPr>
            </w:pPr>
          </w:p>
        </w:tc>
        <w:tc>
          <w:tcPr>
            <w:tcW w:w="1755" w:type="dxa"/>
            <w:tcBorders>
              <w:top w:val="single" w:sz="6" w:space="0" w:color="000000"/>
            </w:tcBorders>
          </w:tcPr>
          <w:p w:rsidR="00C8450C" w:rsidRPr="00747871" w:rsidRDefault="00C8450C" w:rsidP="00237177">
            <w:pPr>
              <w:ind w:left="426"/>
              <w:jc w:val="right"/>
              <w:rPr>
                <w:rFonts w:cs="Arial"/>
                <w:sz w:val="20"/>
                <w:szCs w:val="20"/>
                <w:lang w:val="fi-FI"/>
              </w:rPr>
            </w:pPr>
          </w:p>
        </w:tc>
        <w:tc>
          <w:tcPr>
            <w:tcW w:w="1643" w:type="dxa"/>
            <w:tcBorders>
              <w:top w:val="single" w:sz="6" w:space="0" w:color="000000"/>
            </w:tcBorders>
          </w:tcPr>
          <w:p w:rsidR="00C8450C" w:rsidRPr="00747871" w:rsidRDefault="00C8450C" w:rsidP="00237177">
            <w:pPr>
              <w:ind w:left="426"/>
              <w:jc w:val="right"/>
              <w:rPr>
                <w:rFonts w:cs="Arial"/>
                <w:sz w:val="20"/>
                <w:szCs w:val="20"/>
                <w:lang w:val="fi-FI"/>
              </w:rPr>
            </w:pPr>
          </w:p>
        </w:tc>
        <w:tc>
          <w:tcPr>
            <w:tcW w:w="1460" w:type="dxa"/>
            <w:tcBorders>
              <w:top w:val="single" w:sz="6" w:space="0" w:color="000000"/>
            </w:tcBorders>
          </w:tcPr>
          <w:p w:rsidR="00C8450C" w:rsidRPr="00747871" w:rsidRDefault="00C8450C" w:rsidP="00237177">
            <w:pPr>
              <w:ind w:left="426"/>
              <w:jc w:val="right"/>
              <w:rPr>
                <w:rFonts w:cs="Arial"/>
                <w:sz w:val="20"/>
                <w:szCs w:val="20"/>
                <w:lang w:val="fi-FI"/>
              </w:rPr>
            </w:pP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Revenue, EUR million</w:t>
            </w:r>
          </w:p>
        </w:tc>
        <w:tc>
          <w:tcPr>
            <w:tcW w:w="1755" w:type="dxa"/>
            <w:vAlign w:val="center"/>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13</w:t>
            </w:r>
            <w:r w:rsidR="008C4D25">
              <w:rPr>
                <w:rFonts w:cs="Arial"/>
                <w:color w:val="000000"/>
                <w:sz w:val="20"/>
                <w:szCs w:val="20"/>
                <w:lang w:val="fi-FI"/>
              </w:rPr>
              <w:t>.</w:t>
            </w:r>
            <w:r w:rsidRPr="008C4D25">
              <w:rPr>
                <w:rFonts w:cs="Arial"/>
                <w:color w:val="000000"/>
                <w:sz w:val="20"/>
                <w:szCs w:val="20"/>
                <w:lang w:val="fi-FI"/>
              </w:rPr>
              <w:t>3</w:t>
            </w:r>
          </w:p>
        </w:tc>
        <w:tc>
          <w:tcPr>
            <w:tcW w:w="1643"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8</w:t>
            </w:r>
            <w:r w:rsidR="008C4D25">
              <w:rPr>
                <w:rFonts w:cs="Arial"/>
                <w:sz w:val="20"/>
                <w:szCs w:val="20"/>
                <w:lang w:val="fi-FI"/>
              </w:rPr>
              <w:t>.</w:t>
            </w:r>
            <w:r w:rsidRPr="008C4D25">
              <w:rPr>
                <w:rFonts w:cs="Arial"/>
                <w:sz w:val="20"/>
                <w:szCs w:val="20"/>
                <w:lang w:val="fi-FI"/>
              </w:rPr>
              <w:t>2</w:t>
            </w:r>
          </w:p>
        </w:tc>
        <w:tc>
          <w:tcPr>
            <w:tcW w:w="1460" w:type="dxa"/>
            <w:vAlign w:val="bottom"/>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18</w:t>
            </w:r>
            <w:r w:rsidR="008C4D25">
              <w:rPr>
                <w:rFonts w:cs="Arial"/>
                <w:color w:val="000000"/>
                <w:sz w:val="20"/>
                <w:szCs w:val="20"/>
                <w:lang w:val="fi-FI"/>
              </w:rPr>
              <w:t>.</w:t>
            </w:r>
            <w:r w:rsidRPr="008C4D25">
              <w:rPr>
                <w:rFonts w:cs="Arial"/>
                <w:color w:val="000000"/>
                <w:sz w:val="20"/>
                <w:szCs w:val="20"/>
                <w:lang w:val="fi-FI"/>
              </w:rPr>
              <w:t>5</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Operating profit/loss, EUR million</w:t>
            </w:r>
          </w:p>
        </w:tc>
        <w:tc>
          <w:tcPr>
            <w:tcW w:w="1755" w:type="dxa"/>
            <w:vAlign w:val="center"/>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1</w:t>
            </w:r>
            <w:r w:rsidR="008C4D25">
              <w:rPr>
                <w:rFonts w:cs="Arial"/>
                <w:color w:val="000000"/>
                <w:sz w:val="20"/>
                <w:szCs w:val="20"/>
                <w:lang w:val="fi-FI"/>
              </w:rPr>
              <w:t>.</w:t>
            </w:r>
            <w:r w:rsidRPr="008C4D25">
              <w:rPr>
                <w:rFonts w:cs="Arial"/>
                <w:color w:val="000000"/>
                <w:sz w:val="20"/>
                <w:szCs w:val="20"/>
                <w:lang w:val="fi-FI"/>
              </w:rPr>
              <w:t>5</w:t>
            </w:r>
          </w:p>
        </w:tc>
        <w:tc>
          <w:tcPr>
            <w:tcW w:w="1643" w:type="dxa"/>
            <w:vAlign w:val="center"/>
          </w:tcPr>
          <w:p w:rsidR="00C8450C" w:rsidRPr="008C4D25" w:rsidRDefault="00C8450C" w:rsidP="00237177">
            <w:pPr>
              <w:jc w:val="right"/>
              <w:rPr>
                <w:rFonts w:cs="Arial"/>
                <w:sz w:val="20"/>
                <w:szCs w:val="20"/>
                <w:lang w:val="fi-FI"/>
              </w:rPr>
            </w:pPr>
            <w:proofErr w:type="gramStart"/>
            <w:r w:rsidRPr="008C4D25">
              <w:rPr>
                <w:rFonts w:cs="Arial"/>
                <w:sz w:val="20"/>
                <w:szCs w:val="20"/>
                <w:lang w:val="fi-FI"/>
              </w:rPr>
              <w:t>-</w:t>
            </w:r>
            <w:proofErr w:type="gramEnd"/>
            <w:r w:rsidRPr="008C4D25">
              <w:rPr>
                <w:rFonts w:cs="Arial"/>
                <w:sz w:val="20"/>
                <w:szCs w:val="20"/>
                <w:lang w:val="fi-FI"/>
              </w:rPr>
              <w:t>0</w:t>
            </w:r>
            <w:r w:rsidR="008C4D25">
              <w:rPr>
                <w:rFonts w:cs="Arial"/>
                <w:sz w:val="20"/>
                <w:szCs w:val="20"/>
                <w:lang w:val="fi-FI"/>
              </w:rPr>
              <w:t>.</w:t>
            </w:r>
            <w:r w:rsidRPr="008C4D25">
              <w:rPr>
                <w:rFonts w:cs="Arial"/>
                <w:sz w:val="20"/>
                <w:szCs w:val="20"/>
                <w:lang w:val="fi-FI"/>
              </w:rPr>
              <w:t>1</w:t>
            </w:r>
          </w:p>
        </w:tc>
        <w:tc>
          <w:tcPr>
            <w:tcW w:w="1460" w:type="dxa"/>
            <w:vAlign w:val="bottom"/>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1</w:t>
            </w:r>
            <w:r w:rsidR="008C4D25">
              <w:rPr>
                <w:rFonts w:cs="Arial"/>
                <w:color w:val="000000"/>
                <w:sz w:val="20"/>
                <w:szCs w:val="20"/>
                <w:lang w:val="fi-FI"/>
              </w:rPr>
              <w:t>.</w:t>
            </w:r>
            <w:r w:rsidRPr="008C4D25">
              <w:rPr>
                <w:rFonts w:cs="Arial"/>
                <w:color w:val="000000"/>
                <w:sz w:val="20"/>
                <w:szCs w:val="20"/>
                <w:lang w:val="fi-FI"/>
              </w:rPr>
              <w:t>1</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 xml:space="preserve">  % of revenue</w:t>
            </w:r>
          </w:p>
        </w:tc>
        <w:tc>
          <w:tcPr>
            <w:tcW w:w="1755"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11</w:t>
            </w:r>
            <w:r w:rsidR="008C4D25">
              <w:rPr>
                <w:rFonts w:cs="Arial"/>
                <w:sz w:val="20"/>
                <w:szCs w:val="20"/>
                <w:lang w:val="fi-FI"/>
              </w:rPr>
              <w:t>.</w:t>
            </w:r>
            <w:r w:rsidRPr="008C4D25">
              <w:rPr>
                <w:rFonts w:cs="Arial"/>
                <w:sz w:val="20"/>
                <w:szCs w:val="20"/>
                <w:lang w:val="fi-FI"/>
              </w:rPr>
              <w:t>2</w:t>
            </w:r>
          </w:p>
        </w:tc>
        <w:tc>
          <w:tcPr>
            <w:tcW w:w="1643" w:type="dxa"/>
            <w:vAlign w:val="center"/>
          </w:tcPr>
          <w:p w:rsidR="00C8450C" w:rsidRPr="008C4D25" w:rsidRDefault="00C8450C" w:rsidP="00237177">
            <w:pPr>
              <w:jc w:val="right"/>
              <w:rPr>
                <w:rFonts w:cs="Arial"/>
                <w:sz w:val="20"/>
                <w:szCs w:val="20"/>
                <w:lang w:val="fi-FI"/>
              </w:rPr>
            </w:pPr>
            <w:proofErr w:type="gramStart"/>
            <w:r w:rsidRPr="008C4D25">
              <w:rPr>
                <w:rFonts w:cs="Arial"/>
                <w:sz w:val="20"/>
                <w:szCs w:val="20"/>
                <w:lang w:val="fi-FI"/>
              </w:rPr>
              <w:t>-</w:t>
            </w:r>
            <w:proofErr w:type="gramEnd"/>
            <w:r w:rsidRPr="008C4D25">
              <w:rPr>
                <w:rFonts w:cs="Arial"/>
                <w:sz w:val="20"/>
                <w:szCs w:val="20"/>
                <w:lang w:val="fi-FI"/>
              </w:rPr>
              <w:t>1</w:t>
            </w:r>
            <w:r w:rsidR="008C4D25">
              <w:rPr>
                <w:rFonts w:cs="Arial"/>
                <w:sz w:val="20"/>
                <w:szCs w:val="20"/>
                <w:lang w:val="fi-FI"/>
              </w:rPr>
              <w:t>.</w:t>
            </w:r>
            <w:r w:rsidRPr="008C4D25">
              <w:rPr>
                <w:rFonts w:cs="Arial"/>
                <w:sz w:val="20"/>
                <w:szCs w:val="20"/>
                <w:lang w:val="fi-FI"/>
              </w:rPr>
              <w:t>8</w:t>
            </w:r>
          </w:p>
        </w:tc>
        <w:tc>
          <w:tcPr>
            <w:tcW w:w="1460" w:type="dxa"/>
            <w:vAlign w:val="bottom"/>
          </w:tcPr>
          <w:p w:rsidR="00C8450C" w:rsidRPr="00FC7EE7" w:rsidRDefault="00C8450C" w:rsidP="00237177">
            <w:pPr>
              <w:jc w:val="right"/>
              <w:rPr>
                <w:rFonts w:cs="Arial"/>
                <w:color w:val="000000"/>
                <w:sz w:val="20"/>
                <w:szCs w:val="20"/>
                <w:lang w:val="fi-FI"/>
              </w:rPr>
            </w:pPr>
            <w:r w:rsidRPr="00FC7EE7">
              <w:rPr>
                <w:rFonts w:cs="Arial"/>
                <w:color w:val="000000"/>
                <w:sz w:val="20"/>
                <w:szCs w:val="20"/>
                <w:lang w:val="fi-FI"/>
              </w:rPr>
              <w:t>5</w:t>
            </w:r>
            <w:r w:rsidR="008C4D25" w:rsidRPr="00FC7EE7">
              <w:rPr>
                <w:rFonts w:cs="Arial"/>
                <w:color w:val="000000"/>
                <w:sz w:val="20"/>
                <w:szCs w:val="20"/>
                <w:lang w:val="fi-FI"/>
              </w:rPr>
              <w:t>.</w:t>
            </w:r>
            <w:r w:rsidRPr="00FC7EE7">
              <w:rPr>
                <w:rFonts w:cs="Arial"/>
                <w:color w:val="000000"/>
                <w:sz w:val="20"/>
                <w:szCs w:val="20"/>
                <w:lang w:val="fi-FI"/>
              </w:rPr>
              <w:t>7</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Profit/loss before taxes, EUR million</w:t>
            </w:r>
          </w:p>
        </w:tc>
        <w:tc>
          <w:tcPr>
            <w:tcW w:w="1755" w:type="dxa"/>
            <w:vAlign w:val="center"/>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1</w:t>
            </w:r>
            <w:r w:rsidR="008C4D25">
              <w:rPr>
                <w:rFonts w:cs="Arial"/>
                <w:color w:val="000000"/>
                <w:sz w:val="20"/>
                <w:szCs w:val="20"/>
                <w:lang w:val="fi-FI"/>
              </w:rPr>
              <w:t>.</w:t>
            </w:r>
            <w:r w:rsidRPr="008C4D25">
              <w:rPr>
                <w:rFonts w:cs="Arial"/>
                <w:color w:val="000000"/>
                <w:sz w:val="20"/>
                <w:szCs w:val="20"/>
                <w:lang w:val="fi-FI"/>
              </w:rPr>
              <w:t>3</w:t>
            </w:r>
          </w:p>
        </w:tc>
        <w:tc>
          <w:tcPr>
            <w:tcW w:w="1643" w:type="dxa"/>
            <w:vAlign w:val="center"/>
          </w:tcPr>
          <w:p w:rsidR="00C8450C" w:rsidRPr="008C4D25" w:rsidRDefault="00C8450C" w:rsidP="00237177">
            <w:pPr>
              <w:jc w:val="right"/>
              <w:rPr>
                <w:rFonts w:cs="Arial"/>
                <w:sz w:val="20"/>
                <w:szCs w:val="20"/>
                <w:lang w:val="fi-FI"/>
              </w:rPr>
            </w:pPr>
            <w:proofErr w:type="gramStart"/>
            <w:r w:rsidRPr="008C4D25">
              <w:rPr>
                <w:rFonts w:cs="Arial"/>
                <w:sz w:val="20"/>
                <w:szCs w:val="20"/>
                <w:lang w:val="fi-FI"/>
              </w:rPr>
              <w:t>-</w:t>
            </w:r>
            <w:proofErr w:type="gramEnd"/>
            <w:r w:rsidRPr="008C4D25">
              <w:rPr>
                <w:rFonts w:cs="Arial"/>
                <w:sz w:val="20"/>
                <w:szCs w:val="20"/>
                <w:lang w:val="fi-FI"/>
              </w:rPr>
              <w:t>0</w:t>
            </w:r>
            <w:r w:rsidR="008C4D25">
              <w:rPr>
                <w:rFonts w:cs="Arial"/>
                <w:sz w:val="20"/>
                <w:szCs w:val="20"/>
                <w:lang w:val="fi-FI"/>
              </w:rPr>
              <w:t>.</w:t>
            </w:r>
            <w:r w:rsidRPr="008C4D25">
              <w:rPr>
                <w:rFonts w:cs="Arial"/>
                <w:sz w:val="20"/>
                <w:szCs w:val="20"/>
                <w:lang w:val="fi-FI"/>
              </w:rPr>
              <w:t>6</w:t>
            </w:r>
          </w:p>
        </w:tc>
        <w:tc>
          <w:tcPr>
            <w:tcW w:w="1460" w:type="dxa"/>
            <w:vAlign w:val="bottom"/>
          </w:tcPr>
          <w:p w:rsidR="00C8450C" w:rsidRPr="00FC7EE7" w:rsidRDefault="00C8450C" w:rsidP="00237177">
            <w:pPr>
              <w:jc w:val="right"/>
              <w:rPr>
                <w:rFonts w:cs="Arial"/>
                <w:color w:val="000000"/>
                <w:sz w:val="20"/>
                <w:szCs w:val="20"/>
                <w:lang w:val="fi-FI"/>
              </w:rPr>
            </w:pPr>
            <w:r w:rsidRPr="00FC7EE7">
              <w:rPr>
                <w:rFonts w:cs="Arial"/>
                <w:color w:val="000000"/>
                <w:sz w:val="20"/>
                <w:szCs w:val="20"/>
                <w:lang w:val="fi-FI"/>
              </w:rPr>
              <w:t>0</w:t>
            </w:r>
            <w:r w:rsidR="008C4D25" w:rsidRPr="00FC7EE7">
              <w:rPr>
                <w:rFonts w:cs="Arial"/>
                <w:color w:val="000000"/>
                <w:sz w:val="20"/>
                <w:szCs w:val="20"/>
                <w:lang w:val="fi-FI"/>
              </w:rPr>
              <w:t>.</w:t>
            </w:r>
            <w:r w:rsidRPr="00FC7EE7">
              <w:rPr>
                <w:rFonts w:cs="Arial"/>
                <w:color w:val="000000"/>
                <w:sz w:val="20"/>
                <w:szCs w:val="20"/>
                <w:lang w:val="fi-FI"/>
              </w:rPr>
              <w:t>3</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 xml:space="preserve">  % of revenue</w:t>
            </w:r>
          </w:p>
        </w:tc>
        <w:tc>
          <w:tcPr>
            <w:tcW w:w="1755" w:type="dxa"/>
            <w:vAlign w:val="center"/>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9</w:t>
            </w:r>
            <w:r w:rsidR="008C4D25">
              <w:rPr>
                <w:rFonts w:cs="Arial"/>
                <w:color w:val="000000"/>
                <w:sz w:val="20"/>
                <w:szCs w:val="20"/>
                <w:lang w:val="fi-FI"/>
              </w:rPr>
              <w:t>.</w:t>
            </w:r>
            <w:r w:rsidRPr="008C4D25">
              <w:rPr>
                <w:rFonts w:cs="Arial"/>
                <w:color w:val="000000"/>
                <w:sz w:val="20"/>
                <w:szCs w:val="20"/>
                <w:lang w:val="fi-FI"/>
              </w:rPr>
              <w:t>7</w:t>
            </w:r>
          </w:p>
        </w:tc>
        <w:tc>
          <w:tcPr>
            <w:tcW w:w="1643" w:type="dxa"/>
            <w:vAlign w:val="center"/>
          </w:tcPr>
          <w:p w:rsidR="00C8450C" w:rsidRPr="008C4D25" w:rsidRDefault="00C8450C" w:rsidP="00237177">
            <w:pPr>
              <w:jc w:val="right"/>
              <w:rPr>
                <w:rFonts w:cs="Arial"/>
                <w:sz w:val="20"/>
                <w:szCs w:val="20"/>
                <w:lang w:val="fi-FI"/>
              </w:rPr>
            </w:pPr>
            <w:proofErr w:type="gramStart"/>
            <w:r w:rsidRPr="008C4D25">
              <w:rPr>
                <w:rFonts w:cs="Arial"/>
                <w:sz w:val="20"/>
                <w:szCs w:val="20"/>
                <w:lang w:val="fi-FI"/>
              </w:rPr>
              <w:t>-</w:t>
            </w:r>
            <w:proofErr w:type="gramEnd"/>
            <w:r w:rsidRPr="008C4D25">
              <w:rPr>
                <w:rFonts w:cs="Arial"/>
                <w:sz w:val="20"/>
                <w:szCs w:val="20"/>
                <w:lang w:val="fi-FI"/>
              </w:rPr>
              <w:t>7</w:t>
            </w:r>
            <w:r w:rsidR="008C4D25">
              <w:rPr>
                <w:rFonts w:cs="Arial"/>
                <w:sz w:val="20"/>
                <w:szCs w:val="20"/>
                <w:lang w:val="fi-FI"/>
              </w:rPr>
              <w:t>.</w:t>
            </w:r>
            <w:r w:rsidRPr="008C4D25">
              <w:rPr>
                <w:rFonts w:cs="Arial"/>
                <w:sz w:val="20"/>
                <w:szCs w:val="20"/>
                <w:lang w:val="fi-FI"/>
              </w:rPr>
              <w:t>8</w:t>
            </w:r>
          </w:p>
        </w:tc>
        <w:tc>
          <w:tcPr>
            <w:tcW w:w="1460" w:type="dxa"/>
            <w:vAlign w:val="bottom"/>
          </w:tcPr>
          <w:p w:rsidR="00C8450C" w:rsidRPr="00FC7EE7" w:rsidRDefault="00C8450C" w:rsidP="00237177">
            <w:pPr>
              <w:jc w:val="right"/>
              <w:rPr>
                <w:rFonts w:cs="Arial"/>
                <w:color w:val="000000"/>
                <w:sz w:val="20"/>
                <w:szCs w:val="20"/>
                <w:lang w:val="fi-FI"/>
              </w:rPr>
            </w:pPr>
            <w:r w:rsidRPr="00FC7EE7">
              <w:rPr>
                <w:rFonts w:cs="Arial"/>
                <w:color w:val="000000"/>
                <w:sz w:val="20"/>
                <w:szCs w:val="20"/>
                <w:lang w:val="fi-FI"/>
              </w:rPr>
              <w:t>1</w:t>
            </w:r>
            <w:r w:rsidR="008C4D25" w:rsidRPr="00FC7EE7">
              <w:rPr>
                <w:rFonts w:cs="Arial"/>
                <w:color w:val="000000"/>
                <w:sz w:val="20"/>
                <w:szCs w:val="20"/>
                <w:lang w:val="fi-FI"/>
              </w:rPr>
              <w:t>.</w:t>
            </w:r>
            <w:r w:rsidRPr="00FC7EE7">
              <w:rPr>
                <w:rFonts w:cs="Arial"/>
                <w:color w:val="000000"/>
                <w:sz w:val="20"/>
                <w:szCs w:val="20"/>
                <w:lang w:val="fi-FI"/>
              </w:rPr>
              <w:t>7</w:t>
            </w:r>
          </w:p>
        </w:tc>
      </w:tr>
      <w:tr w:rsidR="00C8450C" w:rsidRPr="003E3697" w:rsidTr="00BF763D">
        <w:trPr>
          <w:trHeight w:val="225"/>
        </w:trPr>
        <w:tc>
          <w:tcPr>
            <w:tcW w:w="5171" w:type="dxa"/>
            <w:noWrap/>
          </w:tcPr>
          <w:p w:rsidR="00C8450C" w:rsidRPr="003E3697" w:rsidRDefault="00C8450C" w:rsidP="00C8450C">
            <w:pPr>
              <w:tabs>
                <w:tab w:val="left" w:pos="1550"/>
              </w:tabs>
              <w:rPr>
                <w:rFonts w:cs="Arial"/>
                <w:sz w:val="20"/>
                <w:lang w:eastAsia="fi-FI"/>
              </w:rPr>
            </w:pPr>
            <w:r w:rsidRPr="003E3697">
              <w:rPr>
                <w:rFonts w:cs="Arial"/>
                <w:sz w:val="20"/>
                <w:lang w:eastAsia="fi-FI"/>
              </w:rPr>
              <w:t xml:space="preserve">Return on investment (ROI), %    </w:t>
            </w:r>
          </w:p>
        </w:tc>
        <w:tc>
          <w:tcPr>
            <w:tcW w:w="1755" w:type="dxa"/>
            <w:vAlign w:val="bottom"/>
          </w:tcPr>
          <w:p w:rsidR="00C8450C" w:rsidRPr="008C4D25" w:rsidRDefault="00C8450C" w:rsidP="00237177">
            <w:pPr>
              <w:jc w:val="right"/>
              <w:rPr>
                <w:rFonts w:cs="Arial"/>
                <w:sz w:val="20"/>
                <w:szCs w:val="20"/>
                <w:lang w:val="fi-FI"/>
              </w:rPr>
            </w:pPr>
            <w:r w:rsidRPr="008C4D25">
              <w:rPr>
                <w:rFonts w:cs="Arial"/>
                <w:sz w:val="20"/>
                <w:szCs w:val="20"/>
                <w:lang w:val="fi-FI"/>
              </w:rPr>
              <w:t>19</w:t>
            </w:r>
            <w:r w:rsidR="008C4D25">
              <w:rPr>
                <w:rFonts w:cs="Arial"/>
                <w:sz w:val="20"/>
                <w:szCs w:val="20"/>
                <w:lang w:val="fi-FI"/>
              </w:rPr>
              <w:t>.</w:t>
            </w:r>
            <w:r w:rsidRPr="008C4D25">
              <w:rPr>
                <w:rFonts w:cs="Arial"/>
                <w:sz w:val="20"/>
                <w:szCs w:val="20"/>
                <w:lang w:val="fi-FI"/>
              </w:rPr>
              <w:t>2</w:t>
            </w:r>
          </w:p>
        </w:tc>
        <w:tc>
          <w:tcPr>
            <w:tcW w:w="1643" w:type="dxa"/>
            <w:vAlign w:val="bottom"/>
          </w:tcPr>
          <w:p w:rsidR="00C8450C" w:rsidRPr="008C4D25" w:rsidRDefault="00C8450C" w:rsidP="00237177">
            <w:pPr>
              <w:jc w:val="right"/>
              <w:rPr>
                <w:rFonts w:cs="Arial"/>
                <w:sz w:val="20"/>
                <w:szCs w:val="20"/>
                <w:lang w:val="fi-FI"/>
              </w:rPr>
            </w:pPr>
            <w:proofErr w:type="gramStart"/>
            <w:r w:rsidRPr="008C4D25">
              <w:rPr>
                <w:rFonts w:cs="Arial"/>
                <w:sz w:val="20"/>
                <w:szCs w:val="20"/>
                <w:lang w:val="fi-FI"/>
              </w:rPr>
              <w:t>-</w:t>
            </w:r>
            <w:proofErr w:type="gramEnd"/>
            <w:r w:rsidRPr="008C4D25">
              <w:rPr>
                <w:rFonts w:cs="Arial"/>
                <w:sz w:val="20"/>
                <w:szCs w:val="20"/>
                <w:lang w:val="fi-FI"/>
              </w:rPr>
              <w:t>0</w:t>
            </w:r>
            <w:r w:rsidR="008C4D25">
              <w:rPr>
                <w:rFonts w:cs="Arial"/>
                <w:sz w:val="20"/>
                <w:szCs w:val="20"/>
                <w:lang w:val="fi-FI"/>
              </w:rPr>
              <w:t>.</w:t>
            </w:r>
            <w:r w:rsidRPr="008C4D25">
              <w:rPr>
                <w:rFonts w:cs="Arial"/>
                <w:sz w:val="20"/>
                <w:szCs w:val="20"/>
                <w:lang w:val="fi-FI"/>
              </w:rPr>
              <w:t>9</w:t>
            </w:r>
          </w:p>
        </w:tc>
        <w:tc>
          <w:tcPr>
            <w:tcW w:w="1460" w:type="dxa"/>
            <w:vAlign w:val="bottom"/>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11</w:t>
            </w:r>
            <w:r w:rsidR="008C4D25">
              <w:rPr>
                <w:rFonts w:cs="Arial"/>
                <w:color w:val="000000"/>
                <w:sz w:val="20"/>
                <w:szCs w:val="20"/>
                <w:lang w:val="fi-FI"/>
              </w:rPr>
              <w:t>.</w:t>
            </w:r>
            <w:r w:rsidRPr="008C4D25">
              <w:rPr>
                <w:rFonts w:cs="Arial"/>
                <w:color w:val="000000"/>
                <w:sz w:val="20"/>
                <w:szCs w:val="20"/>
                <w:lang w:val="fi-FI"/>
              </w:rPr>
              <w:t>2</w:t>
            </w:r>
          </w:p>
        </w:tc>
      </w:tr>
      <w:tr w:rsidR="00C8450C" w:rsidRPr="003E3697" w:rsidTr="00BF763D">
        <w:trPr>
          <w:trHeight w:val="225"/>
        </w:trPr>
        <w:tc>
          <w:tcPr>
            <w:tcW w:w="5171" w:type="dxa"/>
            <w:noWrap/>
          </w:tcPr>
          <w:p w:rsidR="00C8450C" w:rsidRPr="003E3697" w:rsidRDefault="00C8450C" w:rsidP="00C8450C">
            <w:pPr>
              <w:tabs>
                <w:tab w:val="left" w:pos="1550"/>
              </w:tabs>
              <w:rPr>
                <w:rFonts w:cs="Arial"/>
                <w:sz w:val="20"/>
                <w:lang w:eastAsia="fi-FI"/>
              </w:rPr>
            </w:pPr>
            <w:r w:rsidRPr="003E3697">
              <w:rPr>
                <w:rFonts w:cs="Arial"/>
                <w:sz w:val="20"/>
                <w:lang w:eastAsia="fi-FI"/>
              </w:rPr>
              <w:t xml:space="preserve">Return on equity (ROE), %          </w:t>
            </w:r>
          </w:p>
        </w:tc>
        <w:tc>
          <w:tcPr>
            <w:tcW w:w="1755" w:type="dxa"/>
            <w:vAlign w:val="bottom"/>
          </w:tcPr>
          <w:p w:rsidR="00C8450C" w:rsidRPr="008C4D25" w:rsidRDefault="00C8450C" w:rsidP="00237177">
            <w:pPr>
              <w:jc w:val="right"/>
              <w:rPr>
                <w:rFonts w:cs="Arial"/>
                <w:sz w:val="20"/>
                <w:szCs w:val="20"/>
                <w:lang w:val="fi-FI"/>
              </w:rPr>
            </w:pPr>
            <w:r w:rsidRPr="008C4D25">
              <w:rPr>
                <w:rFonts w:cs="Arial"/>
                <w:sz w:val="20"/>
                <w:szCs w:val="20"/>
                <w:lang w:val="fi-FI"/>
              </w:rPr>
              <w:t>55</w:t>
            </w:r>
            <w:r w:rsidR="008C4D25">
              <w:rPr>
                <w:rFonts w:cs="Arial"/>
                <w:sz w:val="20"/>
                <w:szCs w:val="20"/>
                <w:lang w:val="fi-FI"/>
              </w:rPr>
              <w:t>.</w:t>
            </w:r>
            <w:r w:rsidRPr="008C4D25">
              <w:rPr>
                <w:rFonts w:cs="Arial"/>
                <w:sz w:val="20"/>
                <w:szCs w:val="20"/>
                <w:lang w:val="fi-FI"/>
              </w:rPr>
              <w:t>8</w:t>
            </w:r>
          </w:p>
        </w:tc>
        <w:tc>
          <w:tcPr>
            <w:tcW w:w="1643" w:type="dxa"/>
            <w:vAlign w:val="bottom"/>
          </w:tcPr>
          <w:p w:rsidR="00C8450C" w:rsidRPr="008C4D25" w:rsidRDefault="00C8450C" w:rsidP="00237177">
            <w:pPr>
              <w:jc w:val="right"/>
              <w:rPr>
                <w:rFonts w:cs="Arial"/>
                <w:sz w:val="20"/>
                <w:szCs w:val="20"/>
                <w:lang w:val="fi-FI"/>
              </w:rPr>
            </w:pPr>
            <w:proofErr w:type="gramStart"/>
            <w:r w:rsidRPr="008C4D25">
              <w:rPr>
                <w:rFonts w:cs="Arial"/>
                <w:sz w:val="20"/>
                <w:szCs w:val="20"/>
                <w:lang w:val="fi-FI"/>
              </w:rPr>
              <w:t>-</w:t>
            </w:r>
            <w:proofErr w:type="gramEnd"/>
            <w:r w:rsidRPr="008C4D25">
              <w:rPr>
                <w:rFonts w:cs="Arial"/>
                <w:sz w:val="20"/>
                <w:szCs w:val="20"/>
                <w:lang w:val="fi-FI"/>
              </w:rPr>
              <w:t>412</w:t>
            </w:r>
            <w:r w:rsidR="008C4D25">
              <w:rPr>
                <w:rFonts w:cs="Arial"/>
                <w:sz w:val="20"/>
                <w:szCs w:val="20"/>
                <w:lang w:val="fi-FI"/>
              </w:rPr>
              <w:t>.</w:t>
            </w:r>
            <w:r w:rsidRPr="008C4D25">
              <w:rPr>
                <w:rFonts w:cs="Arial"/>
                <w:sz w:val="20"/>
                <w:szCs w:val="20"/>
                <w:lang w:val="fi-FI"/>
              </w:rPr>
              <w:t>5</w:t>
            </w:r>
          </w:p>
        </w:tc>
        <w:tc>
          <w:tcPr>
            <w:tcW w:w="1460" w:type="dxa"/>
            <w:vAlign w:val="center"/>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15</w:t>
            </w:r>
            <w:r w:rsidR="008C4D25">
              <w:rPr>
                <w:rFonts w:cs="Arial"/>
                <w:color w:val="000000"/>
                <w:sz w:val="20"/>
                <w:szCs w:val="20"/>
                <w:lang w:val="fi-FI"/>
              </w:rPr>
              <w:t>.</w:t>
            </w:r>
            <w:r w:rsidRPr="008C4D25">
              <w:rPr>
                <w:rFonts w:cs="Arial"/>
                <w:color w:val="000000"/>
                <w:sz w:val="20"/>
                <w:szCs w:val="20"/>
                <w:lang w:val="fi-FI"/>
              </w:rPr>
              <w:t>4</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Equity ratio, %</w:t>
            </w:r>
          </w:p>
        </w:tc>
        <w:tc>
          <w:tcPr>
            <w:tcW w:w="1755"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26</w:t>
            </w:r>
            <w:r w:rsidR="008C4D25">
              <w:rPr>
                <w:rFonts w:cs="Arial"/>
                <w:sz w:val="20"/>
                <w:szCs w:val="20"/>
                <w:lang w:val="fi-FI"/>
              </w:rPr>
              <w:t>.</w:t>
            </w:r>
            <w:r w:rsidRPr="008C4D25">
              <w:rPr>
                <w:rFonts w:cs="Arial"/>
                <w:sz w:val="20"/>
                <w:szCs w:val="20"/>
                <w:lang w:val="fi-FI"/>
              </w:rPr>
              <w:t>3</w:t>
            </w:r>
          </w:p>
        </w:tc>
        <w:tc>
          <w:tcPr>
            <w:tcW w:w="1643"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0</w:t>
            </w:r>
            <w:r w:rsidR="008C4D25">
              <w:rPr>
                <w:rFonts w:cs="Arial"/>
                <w:sz w:val="20"/>
                <w:szCs w:val="20"/>
                <w:lang w:val="fi-FI"/>
              </w:rPr>
              <w:t>.</w:t>
            </w:r>
            <w:r w:rsidRPr="008C4D25">
              <w:rPr>
                <w:rFonts w:cs="Arial"/>
                <w:sz w:val="20"/>
                <w:szCs w:val="20"/>
                <w:lang w:val="fi-FI"/>
              </w:rPr>
              <w:t>6</w:t>
            </w:r>
          </w:p>
        </w:tc>
        <w:tc>
          <w:tcPr>
            <w:tcW w:w="1460" w:type="dxa"/>
            <w:vAlign w:val="center"/>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9</w:t>
            </w:r>
            <w:r w:rsidR="008C4D25">
              <w:rPr>
                <w:rFonts w:cs="Arial"/>
                <w:color w:val="000000"/>
                <w:sz w:val="20"/>
                <w:szCs w:val="20"/>
                <w:lang w:val="fi-FI"/>
              </w:rPr>
              <w:t>.</w:t>
            </w:r>
            <w:r w:rsidRPr="008C4D25">
              <w:rPr>
                <w:rFonts w:cs="Arial"/>
                <w:color w:val="000000"/>
                <w:sz w:val="20"/>
                <w:szCs w:val="20"/>
                <w:lang w:val="fi-FI"/>
              </w:rPr>
              <w:t>9</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Gearing, %</w:t>
            </w:r>
          </w:p>
        </w:tc>
        <w:tc>
          <w:tcPr>
            <w:tcW w:w="1755"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100</w:t>
            </w:r>
            <w:r w:rsidR="008C4D25">
              <w:rPr>
                <w:rFonts w:cs="Arial"/>
                <w:sz w:val="20"/>
                <w:szCs w:val="20"/>
                <w:lang w:val="fi-FI"/>
              </w:rPr>
              <w:t>.</w:t>
            </w:r>
            <w:r w:rsidRPr="008C4D25">
              <w:rPr>
                <w:rFonts w:cs="Arial"/>
                <w:sz w:val="20"/>
                <w:szCs w:val="20"/>
                <w:lang w:val="fi-FI"/>
              </w:rPr>
              <w:t>4</w:t>
            </w:r>
          </w:p>
        </w:tc>
        <w:tc>
          <w:tcPr>
            <w:tcW w:w="1643"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9 831</w:t>
            </w:r>
            <w:r w:rsidR="008C4D25">
              <w:rPr>
                <w:rFonts w:cs="Arial"/>
                <w:sz w:val="20"/>
                <w:szCs w:val="20"/>
                <w:lang w:val="fi-FI"/>
              </w:rPr>
              <w:t>.</w:t>
            </w:r>
            <w:r w:rsidRPr="008C4D25">
              <w:rPr>
                <w:rFonts w:cs="Arial"/>
                <w:sz w:val="20"/>
                <w:szCs w:val="20"/>
                <w:lang w:val="fi-FI"/>
              </w:rPr>
              <w:t>3</w:t>
            </w:r>
          </w:p>
        </w:tc>
        <w:tc>
          <w:tcPr>
            <w:tcW w:w="1460" w:type="dxa"/>
            <w:vAlign w:val="center"/>
          </w:tcPr>
          <w:p w:rsidR="00C8450C" w:rsidRPr="008C4D25" w:rsidRDefault="00C8450C" w:rsidP="00237177">
            <w:pPr>
              <w:jc w:val="right"/>
              <w:rPr>
                <w:rFonts w:cs="Arial"/>
                <w:color w:val="000000"/>
                <w:sz w:val="20"/>
                <w:szCs w:val="20"/>
                <w:lang w:val="fi-FI"/>
              </w:rPr>
            </w:pPr>
            <w:r w:rsidRPr="00254ECB">
              <w:rPr>
                <w:rFonts w:cs="Arial"/>
                <w:color w:val="000000"/>
                <w:sz w:val="20"/>
                <w:szCs w:val="20"/>
                <w:lang w:val="fi-FI"/>
              </w:rPr>
              <w:t>524</w:t>
            </w:r>
            <w:r w:rsidR="008C4D25" w:rsidRPr="00254ECB">
              <w:rPr>
                <w:rFonts w:cs="Arial"/>
                <w:color w:val="000000"/>
                <w:sz w:val="20"/>
                <w:szCs w:val="20"/>
                <w:lang w:val="fi-FI"/>
              </w:rPr>
              <w:t>.</w:t>
            </w:r>
            <w:r w:rsidRPr="00254ECB">
              <w:rPr>
                <w:rFonts w:cs="Arial"/>
                <w:color w:val="000000"/>
                <w:sz w:val="20"/>
                <w:szCs w:val="20"/>
                <w:lang w:val="fi-FI"/>
              </w:rPr>
              <w:t>0</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Net debt, EUR million</w:t>
            </w:r>
          </w:p>
        </w:tc>
        <w:tc>
          <w:tcPr>
            <w:tcW w:w="1755"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4</w:t>
            </w:r>
            <w:r w:rsidR="008C4D25">
              <w:rPr>
                <w:rFonts w:cs="Arial"/>
                <w:sz w:val="20"/>
                <w:szCs w:val="20"/>
                <w:lang w:val="fi-FI"/>
              </w:rPr>
              <w:t>.</w:t>
            </w:r>
            <w:r w:rsidRPr="008C4D25">
              <w:rPr>
                <w:rFonts w:cs="Arial"/>
                <w:sz w:val="20"/>
                <w:szCs w:val="20"/>
                <w:lang w:val="fi-FI"/>
              </w:rPr>
              <w:t>7</w:t>
            </w:r>
          </w:p>
        </w:tc>
        <w:tc>
          <w:tcPr>
            <w:tcW w:w="1643"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7</w:t>
            </w:r>
            <w:r w:rsidR="008C4D25">
              <w:rPr>
                <w:rFonts w:cs="Arial"/>
                <w:sz w:val="20"/>
                <w:szCs w:val="20"/>
                <w:lang w:val="fi-FI"/>
              </w:rPr>
              <w:t>.</w:t>
            </w:r>
            <w:r w:rsidRPr="008C4D25">
              <w:rPr>
                <w:rFonts w:cs="Arial"/>
                <w:sz w:val="20"/>
                <w:szCs w:val="20"/>
                <w:lang w:val="fi-FI"/>
              </w:rPr>
              <w:t>9</w:t>
            </w:r>
          </w:p>
        </w:tc>
        <w:tc>
          <w:tcPr>
            <w:tcW w:w="1460" w:type="dxa"/>
            <w:vAlign w:val="bottom"/>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5</w:t>
            </w:r>
            <w:r w:rsidR="008C4D25">
              <w:rPr>
                <w:rFonts w:cs="Arial"/>
                <w:color w:val="000000"/>
                <w:sz w:val="20"/>
                <w:szCs w:val="20"/>
                <w:lang w:val="fi-FI"/>
              </w:rPr>
              <w:t>.</w:t>
            </w:r>
            <w:r w:rsidRPr="008C4D25">
              <w:rPr>
                <w:rFonts w:cs="Arial"/>
                <w:color w:val="000000"/>
                <w:sz w:val="20"/>
                <w:szCs w:val="20"/>
                <w:lang w:val="fi-FI"/>
              </w:rPr>
              <w:t>5</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Net interest-bearing debt, EUR million</w:t>
            </w:r>
          </w:p>
        </w:tc>
        <w:tc>
          <w:tcPr>
            <w:tcW w:w="1755"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4</w:t>
            </w:r>
            <w:r w:rsidR="008C4D25">
              <w:rPr>
                <w:rFonts w:cs="Arial"/>
                <w:sz w:val="20"/>
                <w:szCs w:val="20"/>
                <w:lang w:val="fi-FI"/>
              </w:rPr>
              <w:t>.</w:t>
            </w:r>
            <w:r w:rsidRPr="008C4D25">
              <w:rPr>
                <w:rFonts w:cs="Arial"/>
                <w:sz w:val="20"/>
                <w:szCs w:val="20"/>
                <w:lang w:val="fi-FI"/>
              </w:rPr>
              <w:t>7</w:t>
            </w:r>
          </w:p>
        </w:tc>
        <w:tc>
          <w:tcPr>
            <w:tcW w:w="1643"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8</w:t>
            </w:r>
            <w:r w:rsidR="008C4D25">
              <w:rPr>
                <w:rFonts w:cs="Arial"/>
                <w:sz w:val="20"/>
                <w:szCs w:val="20"/>
                <w:lang w:val="fi-FI"/>
              </w:rPr>
              <w:t>.</w:t>
            </w:r>
            <w:r w:rsidRPr="008C4D25">
              <w:rPr>
                <w:rFonts w:cs="Arial"/>
                <w:sz w:val="20"/>
                <w:szCs w:val="20"/>
                <w:lang w:val="fi-FI"/>
              </w:rPr>
              <w:t>1</w:t>
            </w:r>
          </w:p>
        </w:tc>
        <w:tc>
          <w:tcPr>
            <w:tcW w:w="1460" w:type="dxa"/>
            <w:vAlign w:val="bottom"/>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7</w:t>
            </w:r>
            <w:r w:rsidR="008C4D25">
              <w:rPr>
                <w:rFonts w:cs="Arial"/>
                <w:color w:val="000000"/>
                <w:sz w:val="20"/>
                <w:szCs w:val="20"/>
                <w:lang w:val="fi-FI"/>
              </w:rPr>
              <w:t>.</w:t>
            </w:r>
            <w:r w:rsidRPr="008C4D25">
              <w:rPr>
                <w:rFonts w:cs="Arial"/>
                <w:color w:val="000000"/>
                <w:sz w:val="20"/>
                <w:szCs w:val="20"/>
                <w:lang w:val="fi-FI"/>
              </w:rPr>
              <w:t>5</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Quick ratio</w:t>
            </w:r>
          </w:p>
        </w:tc>
        <w:tc>
          <w:tcPr>
            <w:tcW w:w="1755"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0</w:t>
            </w:r>
            <w:r w:rsidR="008C4D25">
              <w:rPr>
                <w:rFonts w:cs="Arial"/>
                <w:sz w:val="20"/>
                <w:szCs w:val="20"/>
                <w:lang w:val="fi-FI"/>
              </w:rPr>
              <w:t>.</w:t>
            </w:r>
            <w:r w:rsidRPr="008C4D25">
              <w:rPr>
                <w:rFonts w:cs="Arial"/>
                <w:sz w:val="20"/>
                <w:szCs w:val="20"/>
                <w:lang w:val="fi-FI"/>
              </w:rPr>
              <w:t>7</w:t>
            </w:r>
          </w:p>
        </w:tc>
        <w:tc>
          <w:tcPr>
            <w:tcW w:w="1643"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0</w:t>
            </w:r>
            <w:r w:rsidR="008C4D25">
              <w:rPr>
                <w:rFonts w:cs="Arial"/>
                <w:sz w:val="20"/>
                <w:szCs w:val="20"/>
                <w:lang w:val="fi-FI"/>
              </w:rPr>
              <w:t>.</w:t>
            </w:r>
            <w:r w:rsidRPr="008C4D25">
              <w:rPr>
                <w:rFonts w:cs="Arial"/>
                <w:sz w:val="20"/>
                <w:szCs w:val="20"/>
                <w:lang w:val="fi-FI"/>
              </w:rPr>
              <w:t>5</w:t>
            </w:r>
          </w:p>
        </w:tc>
        <w:tc>
          <w:tcPr>
            <w:tcW w:w="1460" w:type="dxa"/>
            <w:vAlign w:val="bottom"/>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0</w:t>
            </w:r>
            <w:r w:rsidR="008C4D25">
              <w:rPr>
                <w:rFonts w:cs="Arial"/>
                <w:color w:val="000000"/>
                <w:sz w:val="20"/>
                <w:szCs w:val="20"/>
                <w:lang w:val="fi-FI"/>
              </w:rPr>
              <w:t>.</w:t>
            </w:r>
            <w:r w:rsidRPr="008C4D25">
              <w:rPr>
                <w:rFonts w:cs="Arial"/>
                <w:color w:val="000000"/>
                <w:sz w:val="20"/>
                <w:szCs w:val="20"/>
                <w:lang w:val="fi-FI"/>
              </w:rPr>
              <w:t>6</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Current ratio</w:t>
            </w:r>
          </w:p>
        </w:tc>
        <w:tc>
          <w:tcPr>
            <w:tcW w:w="1755"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1</w:t>
            </w:r>
            <w:r w:rsidR="008C4D25">
              <w:rPr>
                <w:rFonts w:cs="Arial"/>
                <w:sz w:val="20"/>
                <w:szCs w:val="20"/>
                <w:lang w:val="fi-FI"/>
              </w:rPr>
              <w:t>.</w:t>
            </w:r>
            <w:r w:rsidRPr="008C4D25">
              <w:rPr>
                <w:rFonts w:cs="Arial"/>
                <w:sz w:val="20"/>
                <w:szCs w:val="20"/>
                <w:lang w:val="fi-FI"/>
              </w:rPr>
              <w:t>0</w:t>
            </w:r>
          </w:p>
        </w:tc>
        <w:tc>
          <w:tcPr>
            <w:tcW w:w="1643" w:type="dxa"/>
            <w:vAlign w:val="center"/>
          </w:tcPr>
          <w:p w:rsidR="00C8450C" w:rsidRPr="008C4D25" w:rsidRDefault="00C8450C" w:rsidP="00237177">
            <w:pPr>
              <w:jc w:val="right"/>
              <w:rPr>
                <w:rFonts w:cs="Arial"/>
                <w:sz w:val="20"/>
                <w:szCs w:val="20"/>
                <w:lang w:val="fi-FI"/>
              </w:rPr>
            </w:pPr>
            <w:r w:rsidRPr="008C4D25">
              <w:rPr>
                <w:rFonts w:cs="Arial"/>
                <w:sz w:val="20"/>
                <w:szCs w:val="20"/>
                <w:lang w:val="fi-FI"/>
              </w:rPr>
              <w:t>0</w:t>
            </w:r>
            <w:r w:rsidR="008C4D25">
              <w:rPr>
                <w:rFonts w:cs="Arial"/>
                <w:sz w:val="20"/>
                <w:szCs w:val="20"/>
                <w:lang w:val="fi-FI"/>
              </w:rPr>
              <w:t>.</w:t>
            </w:r>
            <w:r w:rsidRPr="008C4D25">
              <w:rPr>
                <w:rFonts w:cs="Arial"/>
                <w:sz w:val="20"/>
                <w:szCs w:val="20"/>
                <w:lang w:val="fi-FI"/>
              </w:rPr>
              <w:t>9</w:t>
            </w:r>
          </w:p>
        </w:tc>
        <w:tc>
          <w:tcPr>
            <w:tcW w:w="1460" w:type="dxa"/>
            <w:vAlign w:val="bottom"/>
          </w:tcPr>
          <w:p w:rsidR="00C8450C" w:rsidRPr="008C4D25" w:rsidRDefault="00C8450C" w:rsidP="00237177">
            <w:pPr>
              <w:jc w:val="right"/>
              <w:rPr>
                <w:rFonts w:cs="Arial"/>
                <w:color w:val="000000"/>
                <w:sz w:val="20"/>
                <w:szCs w:val="20"/>
                <w:lang w:val="fi-FI"/>
              </w:rPr>
            </w:pPr>
            <w:r w:rsidRPr="008C4D25">
              <w:rPr>
                <w:rFonts w:cs="Arial"/>
                <w:color w:val="000000"/>
                <w:sz w:val="20"/>
                <w:szCs w:val="20"/>
                <w:lang w:val="fi-FI"/>
              </w:rPr>
              <w:t>0</w:t>
            </w:r>
            <w:r w:rsidR="008C4D25">
              <w:rPr>
                <w:rFonts w:cs="Arial"/>
                <w:color w:val="000000"/>
                <w:sz w:val="20"/>
                <w:szCs w:val="20"/>
                <w:lang w:val="fi-FI"/>
              </w:rPr>
              <w:t>.</w:t>
            </w:r>
            <w:r w:rsidRPr="008C4D25">
              <w:rPr>
                <w:rFonts w:cs="Arial"/>
                <w:color w:val="000000"/>
                <w:sz w:val="20"/>
                <w:szCs w:val="20"/>
                <w:lang w:val="fi-FI"/>
              </w:rPr>
              <w:t>9</w:t>
            </w:r>
          </w:p>
        </w:tc>
      </w:tr>
      <w:tr w:rsidR="00C8450C" w:rsidRPr="003E3697" w:rsidTr="00BF763D">
        <w:trPr>
          <w:trHeight w:val="463"/>
        </w:trPr>
        <w:tc>
          <w:tcPr>
            <w:tcW w:w="5171" w:type="dxa"/>
            <w:noWrap/>
          </w:tcPr>
          <w:p w:rsidR="00C8450C" w:rsidRPr="003E3697" w:rsidRDefault="00C8450C" w:rsidP="00F923C3">
            <w:pPr>
              <w:tabs>
                <w:tab w:val="left" w:pos="1550"/>
              </w:tabs>
              <w:rPr>
                <w:rFonts w:cs="Arial"/>
                <w:color w:val="000000"/>
                <w:sz w:val="20"/>
                <w:lang w:eastAsia="fi-FI"/>
              </w:rPr>
            </w:pPr>
            <w:r w:rsidRPr="003E3697">
              <w:rPr>
                <w:rFonts w:cs="Arial"/>
                <w:sz w:val="20"/>
                <w:lang w:eastAsia="fi-FI"/>
              </w:rPr>
              <w:t>Average number of shares during the review</w:t>
            </w:r>
          </w:p>
          <w:p w:rsidR="00C8450C" w:rsidRPr="003E3697" w:rsidRDefault="00C8450C" w:rsidP="00F923C3">
            <w:pPr>
              <w:tabs>
                <w:tab w:val="left" w:pos="1550"/>
              </w:tabs>
              <w:rPr>
                <w:rFonts w:cs="Arial"/>
                <w:color w:val="000000"/>
                <w:sz w:val="20"/>
                <w:lang w:eastAsia="fi-FI"/>
              </w:rPr>
            </w:pPr>
            <w:r w:rsidRPr="003E3697">
              <w:rPr>
                <w:rFonts w:cs="Arial"/>
                <w:color w:val="000000"/>
                <w:sz w:val="20"/>
                <w:lang w:eastAsia="fi-FI"/>
              </w:rPr>
              <w:t>period, adjusted for share issues</w:t>
            </w:r>
          </w:p>
        </w:tc>
        <w:tc>
          <w:tcPr>
            <w:tcW w:w="1755" w:type="dxa"/>
            <w:vAlign w:val="center"/>
          </w:tcPr>
          <w:p w:rsidR="00C8450C" w:rsidRPr="00747871" w:rsidRDefault="00C8450C" w:rsidP="00237177">
            <w:pPr>
              <w:jc w:val="right"/>
              <w:rPr>
                <w:rFonts w:cs="Arial"/>
                <w:sz w:val="20"/>
                <w:szCs w:val="20"/>
                <w:lang w:val="fi-FI"/>
              </w:rPr>
            </w:pPr>
            <w:r w:rsidRPr="00747871">
              <w:rPr>
                <w:rFonts w:cs="Arial"/>
                <w:sz w:val="20"/>
                <w:szCs w:val="20"/>
                <w:lang w:val="fi-FI"/>
              </w:rPr>
              <w:t>109</w:t>
            </w:r>
            <w:r w:rsidR="008C4D25">
              <w:rPr>
                <w:rFonts w:cs="Arial"/>
                <w:sz w:val="20"/>
                <w:szCs w:val="20"/>
                <w:lang w:val="fi-FI"/>
              </w:rPr>
              <w:t>,</w:t>
            </w:r>
            <w:r w:rsidRPr="00747871">
              <w:rPr>
                <w:rFonts w:cs="Arial"/>
                <w:sz w:val="20"/>
                <w:szCs w:val="20"/>
                <w:lang w:val="fi-FI"/>
              </w:rPr>
              <w:t>716</w:t>
            </w:r>
            <w:r w:rsidR="008C4D25">
              <w:rPr>
                <w:rFonts w:cs="Arial"/>
                <w:sz w:val="20"/>
                <w:szCs w:val="20"/>
                <w:lang w:val="fi-FI"/>
              </w:rPr>
              <w:t>,</w:t>
            </w:r>
            <w:r w:rsidRPr="00747871">
              <w:rPr>
                <w:rFonts w:cs="Arial"/>
                <w:sz w:val="20"/>
                <w:szCs w:val="20"/>
                <w:lang w:val="fi-FI"/>
              </w:rPr>
              <w:t>875</w:t>
            </w:r>
          </w:p>
        </w:tc>
        <w:tc>
          <w:tcPr>
            <w:tcW w:w="1643" w:type="dxa"/>
            <w:vAlign w:val="center"/>
          </w:tcPr>
          <w:p w:rsidR="00C8450C" w:rsidRPr="00747871" w:rsidRDefault="00C8450C" w:rsidP="00237177">
            <w:pPr>
              <w:jc w:val="right"/>
              <w:rPr>
                <w:rFonts w:cs="Arial"/>
                <w:sz w:val="20"/>
                <w:szCs w:val="20"/>
                <w:lang w:val="fi-FI"/>
              </w:rPr>
            </w:pPr>
            <w:r w:rsidRPr="00747871">
              <w:rPr>
                <w:rFonts w:cs="Arial"/>
                <w:sz w:val="20"/>
                <w:szCs w:val="20"/>
                <w:lang w:val="fi-FI"/>
              </w:rPr>
              <w:t>109</w:t>
            </w:r>
            <w:r w:rsidR="008C4D25">
              <w:rPr>
                <w:rFonts w:cs="Arial"/>
                <w:sz w:val="20"/>
                <w:szCs w:val="20"/>
                <w:lang w:val="fi-FI"/>
              </w:rPr>
              <w:t>,</w:t>
            </w:r>
            <w:r w:rsidRPr="00747871">
              <w:rPr>
                <w:rFonts w:cs="Arial"/>
                <w:sz w:val="20"/>
                <w:szCs w:val="20"/>
                <w:lang w:val="fi-FI"/>
              </w:rPr>
              <w:t>114</w:t>
            </w:r>
            <w:r w:rsidR="008C4D25">
              <w:rPr>
                <w:rFonts w:cs="Arial"/>
                <w:sz w:val="20"/>
                <w:szCs w:val="20"/>
                <w:lang w:val="fi-FI"/>
              </w:rPr>
              <w:t>,</w:t>
            </w:r>
            <w:r w:rsidRPr="00747871">
              <w:rPr>
                <w:rFonts w:cs="Arial"/>
                <w:sz w:val="20"/>
                <w:szCs w:val="20"/>
                <w:lang w:val="fi-FI"/>
              </w:rPr>
              <w:t>035</w:t>
            </w:r>
          </w:p>
        </w:tc>
        <w:tc>
          <w:tcPr>
            <w:tcW w:w="1460" w:type="dxa"/>
            <w:vAlign w:val="center"/>
          </w:tcPr>
          <w:p w:rsidR="00C8450C" w:rsidRPr="00747871" w:rsidRDefault="00C8450C" w:rsidP="00237177">
            <w:pPr>
              <w:jc w:val="right"/>
              <w:rPr>
                <w:rFonts w:cs="Arial"/>
                <w:color w:val="000000"/>
                <w:sz w:val="20"/>
                <w:szCs w:val="20"/>
                <w:lang w:val="fi-FI"/>
              </w:rPr>
            </w:pPr>
            <w:r w:rsidRPr="00747871">
              <w:rPr>
                <w:rFonts w:cs="Arial"/>
                <w:color w:val="000000"/>
                <w:sz w:val="20"/>
                <w:szCs w:val="20"/>
                <w:lang w:val="fi-FI"/>
              </w:rPr>
              <w:t>109</w:t>
            </w:r>
            <w:r w:rsidR="008C4D25">
              <w:rPr>
                <w:rFonts w:cs="Arial"/>
                <w:color w:val="000000"/>
                <w:sz w:val="20"/>
                <w:szCs w:val="20"/>
                <w:lang w:val="fi-FI"/>
              </w:rPr>
              <w:t>,</w:t>
            </w:r>
            <w:r w:rsidRPr="00747871">
              <w:rPr>
                <w:rFonts w:cs="Arial"/>
                <w:color w:val="000000"/>
                <w:sz w:val="20"/>
                <w:szCs w:val="20"/>
                <w:lang w:val="fi-FI"/>
              </w:rPr>
              <w:t>114</w:t>
            </w:r>
            <w:r w:rsidR="008C4D25">
              <w:rPr>
                <w:rFonts w:cs="Arial"/>
                <w:color w:val="000000"/>
                <w:sz w:val="20"/>
                <w:szCs w:val="20"/>
                <w:lang w:val="fi-FI"/>
              </w:rPr>
              <w:t>,</w:t>
            </w:r>
            <w:r w:rsidRPr="00747871">
              <w:rPr>
                <w:rFonts w:cs="Arial"/>
                <w:color w:val="000000"/>
                <w:sz w:val="20"/>
                <w:szCs w:val="20"/>
                <w:lang w:val="fi-FI"/>
              </w:rPr>
              <w:t>035</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bookmarkStart w:id="5" w:name="OLE_LINK14"/>
            <w:r w:rsidRPr="003E3697">
              <w:rPr>
                <w:rFonts w:cs="Arial"/>
                <w:sz w:val="20"/>
                <w:lang w:eastAsia="fi-FI"/>
              </w:rPr>
              <w:t>Earnings per share (EPS), EUR</w:t>
            </w:r>
          </w:p>
        </w:tc>
        <w:tc>
          <w:tcPr>
            <w:tcW w:w="1755"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r w:rsidR="008C4D25">
              <w:rPr>
                <w:rFonts w:cs="Arial"/>
                <w:sz w:val="20"/>
                <w:szCs w:val="20"/>
                <w:lang w:val="fi-FI"/>
              </w:rPr>
              <w:t>.</w:t>
            </w:r>
            <w:r w:rsidRPr="00747871">
              <w:rPr>
                <w:rFonts w:cs="Arial"/>
                <w:sz w:val="20"/>
                <w:szCs w:val="20"/>
                <w:lang w:val="fi-FI"/>
              </w:rPr>
              <w:t>01</w:t>
            </w:r>
          </w:p>
        </w:tc>
        <w:tc>
          <w:tcPr>
            <w:tcW w:w="1643" w:type="dxa"/>
            <w:vAlign w:val="center"/>
          </w:tcPr>
          <w:p w:rsidR="006A1B2F" w:rsidRPr="00747871" w:rsidRDefault="006A1B2F"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0</w:t>
            </w:r>
            <w:r w:rsidR="008C4D25">
              <w:rPr>
                <w:rFonts w:cs="Arial"/>
                <w:sz w:val="20"/>
                <w:szCs w:val="20"/>
                <w:lang w:val="fi-FI"/>
              </w:rPr>
              <w:t>.</w:t>
            </w:r>
            <w:r w:rsidRPr="00747871">
              <w:rPr>
                <w:rFonts w:cs="Arial"/>
                <w:sz w:val="20"/>
                <w:szCs w:val="20"/>
                <w:lang w:val="fi-FI"/>
              </w:rPr>
              <w:t>01</w:t>
            </w:r>
          </w:p>
        </w:tc>
        <w:tc>
          <w:tcPr>
            <w:tcW w:w="1460"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0</w:t>
            </w:r>
            <w:r w:rsidR="008C4D25">
              <w:rPr>
                <w:rFonts w:cs="Arial"/>
                <w:color w:val="000000"/>
                <w:sz w:val="20"/>
                <w:szCs w:val="20"/>
                <w:lang w:val="fi-FI"/>
              </w:rPr>
              <w:t>.</w:t>
            </w:r>
            <w:r w:rsidRPr="00747871">
              <w:rPr>
                <w:rFonts w:cs="Arial"/>
                <w:color w:val="000000"/>
                <w:sz w:val="20"/>
                <w:szCs w:val="20"/>
                <w:lang w:val="fi-FI"/>
              </w:rPr>
              <w:t>00</w:t>
            </w:r>
          </w:p>
        </w:tc>
      </w:tr>
      <w:bookmarkEnd w:id="5"/>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Equity per share, EUR</w:t>
            </w:r>
          </w:p>
        </w:tc>
        <w:tc>
          <w:tcPr>
            <w:tcW w:w="1755"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r w:rsidR="008C4D25">
              <w:rPr>
                <w:rFonts w:cs="Arial"/>
                <w:sz w:val="20"/>
                <w:szCs w:val="20"/>
                <w:lang w:val="fi-FI"/>
              </w:rPr>
              <w:t>.</w:t>
            </w:r>
            <w:r w:rsidRPr="00747871">
              <w:rPr>
                <w:rFonts w:cs="Arial"/>
                <w:sz w:val="20"/>
                <w:szCs w:val="20"/>
                <w:lang w:val="fi-FI"/>
              </w:rPr>
              <w:t>02</w:t>
            </w:r>
          </w:p>
        </w:tc>
        <w:tc>
          <w:tcPr>
            <w:tcW w:w="1643"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r w:rsidR="008C4D25">
              <w:rPr>
                <w:rFonts w:cs="Arial"/>
                <w:sz w:val="20"/>
                <w:szCs w:val="20"/>
                <w:lang w:val="fi-FI"/>
              </w:rPr>
              <w:t>.</w:t>
            </w:r>
            <w:r w:rsidRPr="00747871">
              <w:rPr>
                <w:rFonts w:cs="Arial"/>
                <w:sz w:val="20"/>
                <w:szCs w:val="20"/>
                <w:lang w:val="fi-FI"/>
              </w:rPr>
              <w:t>00</w:t>
            </w:r>
          </w:p>
        </w:tc>
        <w:tc>
          <w:tcPr>
            <w:tcW w:w="1460"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0</w:t>
            </w:r>
            <w:r w:rsidR="008C4D25">
              <w:rPr>
                <w:rFonts w:cs="Arial"/>
                <w:color w:val="000000"/>
                <w:sz w:val="20"/>
                <w:szCs w:val="20"/>
                <w:lang w:val="fi-FI"/>
              </w:rPr>
              <w:t>.</w:t>
            </w:r>
            <w:r w:rsidRPr="00747871">
              <w:rPr>
                <w:rFonts w:cs="Arial"/>
                <w:color w:val="000000"/>
                <w:sz w:val="20"/>
                <w:szCs w:val="20"/>
                <w:lang w:val="fi-FI"/>
              </w:rPr>
              <w:t>01</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P/E ratio</w:t>
            </w:r>
          </w:p>
        </w:tc>
        <w:tc>
          <w:tcPr>
            <w:tcW w:w="1755"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10</w:t>
            </w:r>
            <w:r w:rsidR="008C4D25">
              <w:rPr>
                <w:rFonts w:cs="Arial"/>
                <w:sz w:val="20"/>
                <w:szCs w:val="20"/>
                <w:lang w:val="fi-FI"/>
              </w:rPr>
              <w:t>.</w:t>
            </w:r>
            <w:r w:rsidRPr="00747871">
              <w:rPr>
                <w:rFonts w:cs="Arial"/>
                <w:sz w:val="20"/>
                <w:szCs w:val="20"/>
                <w:lang w:val="fi-FI"/>
              </w:rPr>
              <w:t>4</w:t>
            </w:r>
          </w:p>
        </w:tc>
        <w:tc>
          <w:tcPr>
            <w:tcW w:w="1643" w:type="dxa"/>
            <w:vAlign w:val="center"/>
          </w:tcPr>
          <w:p w:rsidR="006A1B2F" w:rsidRPr="00747871" w:rsidRDefault="006A1B2F" w:rsidP="00237177">
            <w:pPr>
              <w:jc w:val="right"/>
              <w:rPr>
                <w:rFonts w:cs="Arial"/>
                <w:sz w:val="20"/>
                <w:szCs w:val="20"/>
                <w:lang w:val="fi-FI"/>
              </w:rPr>
            </w:pPr>
            <w:proofErr w:type="gramStart"/>
            <w:r w:rsidRPr="00747871">
              <w:rPr>
                <w:rFonts w:cs="Arial"/>
                <w:sz w:val="20"/>
                <w:szCs w:val="20"/>
                <w:lang w:val="fi-FI"/>
              </w:rPr>
              <w:t>-</w:t>
            </w:r>
            <w:proofErr w:type="gramEnd"/>
            <w:r w:rsidRPr="00747871">
              <w:rPr>
                <w:rFonts w:cs="Arial"/>
                <w:sz w:val="20"/>
                <w:szCs w:val="20"/>
                <w:lang w:val="fi-FI"/>
              </w:rPr>
              <w:t>10</w:t>
            </w:r>
            <w:r w:rsidR="008C4D25">
              <w:rPr>
                <w:rFonts w:cs="Arial"/>
                <w:sz w:val="20"/>
                <w:szCs w:val="20"/>
                <w:lang w:val="fi-FI"/>
              </w:rPr>
              <w:t>.</w:t>
            </w:r>
            <w:r w:rsidRPr="00747871">
              <w:rPr>
                <w:rFonts w:cs="Arial"/>
                <w:sz w:val="20"/>
                <w:szCs w:val="20"/>
                <w:lang w:val="fi-FI"/>
              </w:rPr>
              <w:t>3</w:t>
            </w:r>
          </w:p>
        </w:tc>
        <w:tc>
          <w:tcPr>
            <w:tcW w:w="1460"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43</w:t>
            </w:r>
            <w:r w:rsidR="008C4D25">
              <w:rPr>
                <w:rFonts w:cs="Arial"/>
                <w:color w:val="000000"/>
                <w:sz w:val="20"/>
                <w:szCs w:val="20"/>
                <w:lang w:val="fi-FI"/>
              </w:rPr>
              <w:t>.</w:t>
            </w:r>
            <w:r w:rsidRPr="00747871">
              <w:rPr>
                <w:rFonts w:cs="Arial"/>
                <w:color w:val="000000"/>
                <w:sz w:val="20"/>
                <w:szCs w:val="20"/>
                <w:lang w:val="fi-FI"/>
              </w:rPr>
              <w:t>3</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Trend in share price</w:t>
            </w:r>
          </w:p>
        </w:tc>
        <w:tc>
          <w:tcPr>
            <w:tcW w:w="1755" w:type="dxa"/>
            <w:vAlign w:val="center"/>
          </w:tcPr>
          <w:p w:rsidR="00C8450C" w:rsidRPr="00747871" w:rsidRDefault="00C8450C" w:rsidP="00237177">
            <w:pPr>
              <w:jc w:val="right"/>
              <w:rPr>
                <w:rFonts w:cs="Arial"/>
                <w:sz w:val="20"/>
                <w:szCs w:val="20"/>
                <w:lang w:val="fi-FI"/>
              </w:rPr>
            </w:pPr>
          </w:p>
        </w:tc>
        <w:tc>
          <w:tcPr>
            <w:tcW w:w="1643" w:type="dxa"/>
            <w:vAlign w:val="center"/>
          </w:tcPr>
          <w:p w:rsidR="00C8450C" w:rsidRPr="00747871" w:rsidRDefault="00C8450C" w:rsidP="00237177">
            <w:pPr>
              <w:jc w:val="right"/>
              <w:rPr>
                <w:rFonts w:cs="Arial"/>
                <w:sz w:val="20"/>
                <w:szCs w:val="20"/>
                <w:lang w:val="fi-FI"/>
              </w:rPr>
            </w:pPr>
          </w:p>
        </w:tc>
        <w:tc>
          <w:tcPr>
            <w:tcW w:w="1460" w:type="dxa"/>
            <w:vAlign w:val="center"/>
          </w:tcPr>
          <w:p w:rsidR="00C8450C" w:rsidRPr="00747871" w:rsidRDefault="00C8450C" w:rsidP="00237177">
            <w:pPr>
              <w:jc w:val="right"/>
              <w:rPr>
                <w:rFonts w:cs="Arial"/>
                <w:color w:val="000000"/>
                <w:sz w:val="20"/>
                <w:szCs w:val="20"/>
                <w:lang w:val="fi-FI"/>
              </w:rPr>
            </w:pP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 xml:space="preserve">  Minimum price during the period, EUR</w:t>
            </w:r>
          </w:p>
        </w:tc>
        <w:tc>
          <w:tcPr>
            <w:tcW w:w="1755"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r w:rsidR="008C4D25">
              <w:rPr>
                <w:rFonts w:cs="Arial"/>
                <w:sz w:val="20"/>
                <w:szCs w:val="20"/>
                <w:lang w:val="fi-FI"/>
              </w:rPr>
              <w:t>.</w:t>
            </w:r>
            <w:r w:rsidRPr="00747871">
              <w:rPr>
                <w:rFonts w:cs="Arial"/>
                <w:sz w:val="20"/>
                <w:szCs w:val="20"/>
                <w:lang w:val="fi-FI"/>
              </w:rPr>
              <w:t>03</w:t>
            </w:r>
          </w:p>
        </w:tc>
        <w:tc>
          <w:tcPr>
            <w:tcW w:w="1643"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r w:rsidR="008C4D25">
              <w:rPr>
                <w:rFonts w:cs="Arial"/>
                <w:sz w:val="20"/>
                <w:szCs w:val="20"/>
                <w:lang w:val="fi-FI"/>
              </w:rPr>
              <w:t>.</w:t>
            </w:r>
            <w:r w:rsidRPr="00747871">
              <w:rPr>
                <w:rFonts w:cs="Arial"/>
                <w:sz w:val="20"/>
                <w:szCs w:val="20"/>
                <w:lang w:val="fi-FI"/>
              </w:rPr>
              <w:t>04</w:t>
            </w:r>
          </w:p>
        </w:tc>
        <w:tc>
          <w:tcPr>
            <w:tcW w:w="1460"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0</w:t>
            </w:r>
            <w:r w:rsidR="008C4D25">
              <w:rPr>
                <w:rFonts w:cs="Arial"/>
                <w:color w:val="000000"/>
                <w:sz w:val="20"/>
                <w:szCs w:val="20"/>
                <w:lang w:val="fi-FI"/>
              </w:rPr>
              <w:t>.</w:t>
            </w:r>
            <w:r w:rsidRPr="00747871">
              <w:rPr>
                <w:rFonts w:cs="Arial"/>
                <w:color w:val="000000"/>
                <w:sz w:val="20"/>
                <w:szCs w:val="20"/>
                <w:lang w:val="fi-FI"/>
              </w:rPr>
              <w:t>04</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 xml:space="preserve">  Maximum price during the period, EUR</w:t>
            </w:r>
          </w:p>
        </w:tc>
        <w:tc>
          <w:tcPr>
            <w:tcW w:w="1755"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r w:rsidR="008C4D25">
              <w:rPr>
                <w:rFonts w:cs="Arial"/>
                <w:sz w:val="20"/>
                <w:szCs w:val="20"/>
                <w:lang w:val="fi-FI"/>
              </w:rPr>
              <w:t>.</w:t>
            </w:r>
            <w:r w:rsidRPr="00747871">
              <w:rPr>
                <w:rFonts w:cs="Arial"/>
                <w:sz w:val="20"/>
                <w:szCs w:val="20"/>
                <w:lang w:val="fi-FI"/>
              </w:rPr>
              <w:t>08</w:t>
            </w:r>
          </w:p>
        </w:tc>
        <w:tc>
          <w:tcPr>
            <w:tcW w:w="1643"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r w:rsidR="008C4D25">
              <w:rPr>
                <w:rFonts w:cs="Arial"/>
                <w:sz w:val="20"/>
                <w:szCs w:val="20"/>
                <w:lang w:val="fi-FI"/>
              </w:rPr>
              <w:t>.</w:t>
            </w:r>
            <w:r w:rsidRPr="00747871">
              <w:rPr>
                <w:rFonts w:cs="Arial"/>
                <w:sz w:val="20"/>
                <w:szCs w:val="20"/>
                <w:lang w:val="fi-FI"/>
              </w:rPr>
              <w:t>09</w:t>
            </w:r>
          </w:p>
        </w:tc>
        <w:tc>
          <w:tcPr>
            <w:tcW w:w="1460"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0</w:t>
            </w:r>
            <w:r w:rsidR="008C4D25">
              <w:rPr>
                <w:rFonts w:cs="Arial"/>
                <w:color w:val="000000"/>
                <w:sz w:val="20"/>
                <w:szCs w:val="20"/>
                <w:lang w:val="fi-FI"/>
              </w:rPr>
              <w:t>.</w:t>
            </w:r>
            <w:r w:rsidRPr="00747871">
              <w:rPr>
                <w:rFonts w:cs="Arial"/>
                <w:color w:val="000000"/>
                <w:sz w:val="20"/>
                <w:szCs w:val="20"/>
                <w:lang w:val="fi-FI"/>
              </w:rPr>
              <w:t>11</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 xml:space="preserve">  Mean price during the period, EUR</w:t>
            </w:r>
          </w:p>
        </w:tc>
        <w:tc>
          <w:tcPr>
            <w:tcW w:w="1755"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r w:rsidR="008C4D25">
              <w:rPr>
                <w:rFonts w:cs="Arial"/>
                <w:sz w:val="20"/>
                <w:szCs w:val="20"/>
                <w:lang w:val="fi-FI"/>
              </w:rPr>
              <w:t>.</w:t>
            </w:r>
            <w:r w:rsidRPr="00747871">
              <w:rPr>
                <w:rFonts w:cs="Arial"/>
                <w:sz w:val="20"/>
                <w:szCs w:val="20"/>
                <w:lang w:val="fi-FI"/>
              </w:rPr>
              <w:t>06</w:t>
            </w:r>
          </w:p>
        </w:tc>
        <w:tc>
          <w:tcPr>
            <w:tcW w:w="1643"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r w:rsidR="008C4D25">
              <w:rPr>
                <w:rFonts w:cs="Arial"/>
                <w:sz w:val="20"/>
                <w:szCs w:val="20"/>
                <w:lang w:val="fi-FI"/>
              </w:rPr>
              <w:t>.</w:t>
            </w:r>
            <w:r w:rsidRPr="00747871">
              <w:rPr>
                <w:rFonts w:cs="Arial"/>
                <w:sz w:val="20"/>
                <w:szCs w:val="20"/>
                <w:lang w:val="fi-FI"/>
              </w:rPr>
              <w:t>06</w:t>
            </w:r>
          </w:p>
        </w:tc>
        <w:tc>
          <w:tcPr>
            <w:tcW w:w="1460"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0</w:t>
            </w:r>
            <w:r w:rsidR="008C4D25">
              <w:rPr>
                <w:rFonts w:cs="Arial"/>
                <w:color w:val="000000"/>
                <w:sz w:val="20"/>
                <w:szCs w:val="20"/>
                <w:lang w:val="fi-FI"/>
              </w:rPr>
              <w:t>.</w:t>
            </w:r>
            <w:r w:rsidRPr="00747871">
              <w:rPr>
                <w:rFonts w:cs="Arial"/>
                <w:color w:val="000000"/>
                <w:sz w:val="20"/>
                <w:szCs w:val="20"/>
                <w:lang w:val="fi-FI"/>
              </w:rPr>
              <w:t>06</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 xml:space="preserve">  Closing price at the end of the period, EUR</w:t>
            </w:r>
          </w:p>
        </w:tc>
        <w:tc>
          <w:tcPr>
            <w:tcW w:w="1755"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r w:rsidR="008C4D25">
              <w:rPr>
                <w:rFonts w:cs="Arial"/>
                <w:sz w:val="20"/>
                <w:szCs w:val="20"/>
                <w:lang w:val="fi-FI"/>
              </w:rPr>
              <w:t>.</w:t>
            </w:r>
            <w:r w:rsidRPr="00747871">
              <w:rPr>
                <w:rFonts w:cs="Arial"/>
                <w:sz w:val="20"/>
                <w:szCs w:val="20"/>
                <w:lang w:val="fi-FI"/>
              </w:rPr>
              <w:t>08</w:t>
            </w:r>
          </w:p>
        </w:tc>
        <w:tc>
          <w:tcPr>
            <w:tcW w:w="1643"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r w:rsidR="008C4D25">
              <w:rPr>
                <w:rFonts w:cs="Arial"/>
                <w:sz w:val="20"/>
                <w:szCs w:val="20"/>
                <w:lang w:val="fi-FI"/>
              </w:rPr>
              <w:t>.</w:t>
            </w:r>
            <w:r w:rsidRPr="00747871">
              <w:rPr>
                <w:rFonts w:cs="Arial"/>
                <w:sz w:val="20"/>
                <w:szCs w:val="20"/>
                <w:lang w:val="fi-FI"/>
              </w:rPr>
              <w:t>06</w:t>
            </w:r>
          </w:p>
        </w:tc>
        <w:tc>
          <w:tcPr>
            <w:tcW w:w="1460"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0</w:t>
            </w:r>
            <w:r w:rsidR="008C4D25">
              <w:rPr>
                <w:rFonts w:cs="Arial"/>
                <w:color w:val="000000"/>
                <w:sz w:val="20"/>
                <w:szCs w:val="20"/>
                <w:lang w:val="fi-FI"/>
              </w:rPr>
              <w:t>.</w:t>
            </w:r>
            <w:r w:rsidRPr="00747871">
              <w:rPr>
                <w:rFonts w:cs="Arial"/>
                <w:color w:val="000000"/>
                <w:sz w:val="20"/>
                <w:szCs w:val="20"/>
                <w:lang w:val="fi-FI"/>
              </w:rPr>
              <w:t>06</w:t>
            </w:r>
          </w:p>
        </w:tc>
      </w:tr>
      <w:tr w:rsidR="006A1B2F" w:rsidRPr="003E3697" w:rsidTr="00254ECB">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Total market capitalisation, EUR million</w:t>
            </w:r>
          </w:p>
        </w:tc>
        <w:tc>
          <w:tcPr>
            <w:tcW w:w="1755" w:type="dxa"/>
            <w:vAlign w:val="center"/>
          </w:tcPr>
          <w:p w:rsidR="006A1B2F" w:rsidRPr="00747871" w:rsidRDefault="000E653B" w:rsidP="00237177">
            <w:pPr>
              <w:jc w:val="right"/>
              <w:rPr>
                <w:rFonts w:cs="Arial"/>
                <w:sz w:val="20"/>
                <w:szCs w:val="20"/>
                <w:lang w:val="fi-FI"/>
              </w:rPr>
            </w:pPr>
            <w:r>
              <w:rPr>
                <w:rFonts w:cs="Arial"/>
                <w:sz w:val="20"/>
                <w:szCs w:val="20"/>
                <w:lang w:val="fi-FI"/>
              </w:rPr>
              <w:t>16.8</w:t>
            </w:r>
          </w:p>
        </w:tc>
        <w:tc>
          <w:tcPr>
            <w:tcW w:w="1643" w:type="dxa"/>
            <w:vAlign w:val="center"/>
          </w:tcPr>
          <w:p w:rsidR="006A1B2F" w:rsidRPr="00747871" w:rsidRDefault="000E653B" w:rsidP="00237177">
            <w:pPr>
              <w:jc w:val="right"/>
              <w:rPr>
                <w:rFonts w:cs="Arial"/>
                <w:sz w:val="20"/>
                <w:szCs w:val="20"/>
                <w:lang w:val="fi-FI"/>
              </w:rPr>
            </w:pPr>
            <w:r>
              <w:rPr>
                <w:rFonts w:cs="Arial"/>
                <w:sz w:val="20"/>
                <w:szCs w:val="20"/>
                <w:lang w:val="fi-FI"/>
              </w:rPr>
              <w:t>6.6</w:t>
            </w:r>
          </w:p>
        </w:tc>
        <w:tc>
          <w:tcPr>
            <w:tcW w:w="1460" w:type="dxa"/>
            <w:vAlign w:val="center"/>
          </w:tcPr>
          <w:p w:rsidR="006A1B2F" w:rsidRPr="00747871" w:rsidRDefault="00254ECB" w:rsidP="00237177">
            <w:pPr>
              <w:jc w:val="right"/>
              <w:rPr>
                <w:rFonts w:cs="Arial"/>
                <w:color w:val="000000"/>
                <w:sz w:val="20"/>
                <w:szCs w:val="20"/>
                <w:lang w:val="fi-FI"/>
              </w:rPr>
            </w:pPr>
            <w:r>
              <w:rPr>
                <w:rFonts w:cs="Arial"/>
                <w:color w:val="000000"/>
                <w:sz w:val="20"/>
                <w:szCs w:val="20"/>
                <w:lang w:val="fi-FI"/>
              </w:rPr>
              <w:t>6.5</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Trade volume, no. of shares</w:t>
            </w:r>
          </w:p>
        </w:tc>
        <w:tc>
          <w:tcPr>
            <w:tcW w:w="1755" w:type="dxa"/>
            <w:vAlign w:val="center"/>
          </w:tcPr>
          <w:p w:rsidR="006A1B2F" w:rsidRPr="006A1B2F" w:rsidRDefault="006A1B2F" w:rsidP="00237177">
            <w:pPr>
              <w:jc w:val="right"/>
              <w:rPr>
                <w:rFonts w:cs="Arial"/>
                <w:sz w:val="20"/>
                <w:szCs w:val="20"/>
                <w:lang w:val="fi-FI"/>
              </w:rPr>
            </w:pPr>
            <w:r w:rsidRPr="006A1B2F">
              <w:rPr>
                <w:rFonts w:cs="Arial"/>
                <w:sz w:val="20"/>
                <w:szCs w:val="20"/>
                <w:lang w:val="fi-FI"/>
              </w:rPr>
              <w:t>30</w:t>
            </w:r>
            <w:r w:rsidR="008C4D25">
              <w:rPr>
                <w:rFonts w:cs="Arial"/>
                <w:sz w:val="20"/>
                <w:szCs w:val="20"/>
                <w:lang w:val="fi-FI"/>
              </w:rPr>
              <w:t>,</w:t>
            </w:r>
            <w:r w:rsidRPr="006A1B2F">
              <w:rPr>
                <w:rFonts w:cs="Arial"/>
                <w:sz w:val="20"/>
                <w:szCs w:val="20"/>
                <w:lang w:val="fi-FI"/>
              </w:rPr>
              <w:t>655</w:t>
            </w:r>
            <w:r w:rsidR="008C4D25">
              <w:rPr>
                <w:rFonts w:cs="Arial"/>
                <w:sz w:val="20"/>
                <w:szCs w:val="20"/>
                <w:lang w:val="fi-FI"/>
              </w:rPr>
              <w:t>,</w:t>
            </w:r>
            <w:r w:rsidRPr="006A1B2F">
              <w:rPr>
                <w:rFonts w:cs="Arial"/>
                <w:sz w:val="20"/>
                <w:szCs w:val="20"/>
                <w:lang w:val="fi-FI"/>
              </w:rPr>
              <w:t>801</w:t>
            </w:r>
          </w:p>
        </w:tc>
        <w:tc>
          <w:tcPr>
            <w:tcW w:w="1643" w:type="dxa"/>
            <w:vAlign w:val="center"/>
          </w:tcPr>
          <w:p w:rsidR="006A1B2F" w:rsidRPr="006A1B2F" w:rsidRDefault="006A1B2F" w:rsidP="00237177">
            <w:pPr>
              <w:jc w:val="right"/>
              <w:rPr>
                <w:rFonts w:cs="Arial"/>
                <w:sz w:val="20"/>
                <w:szCs w:val="20"/>
                <w:lang w:val="fi-FI"/>
              </w:rPr>
            </w:pPr>
            <w:r w:rsidRPr="006A1B2F">
              <w:rPr>
                <w:rFonts w:cs="Arial"/>
                <w:sz w:val="20"/>
                <w:szCs w:val="20"/>
                <w:lang w:val="fi-FI"/>
              </w:rPr>
              <w:t>22</w:t>
            </w:r>
            <w:r w:rsidR="008C4D25">
              <w:rPr>
                <w:rFonts w:cs="Arial"/>
                <w:sz w:val="20"/>
                <w:szCs w:val="20"/>
                <w:lang w:val="fi-FI"/>
              </w:rPr>
              <w:t>,</w:t>
            </w:r>
            <w:r w:rsidRPr="006A1B2F">
              <w:rPr>
                <w:rFonts w:cs="Arial"/>
                <w:sz w:val="20"/>
                <w:szCs w:val="20"/>
                <w:lang w:val="fi-FI"/>
              </w:rPr>
              <w:t>659</w:t>
            </w:r>
            <w:r w:rsidR="008C4D25">
              <w:rPr>
                <w:rFonts w:cs="Arial"/>
                <w:sz w:val="20"/>
                <w:szCs w:val="20"/>
                <w:lang w:val="fi-FI"/>
              </w:rPr>
              <w:t>,</w:t>
            </w:r>
            <w:r w:rsidRPr="006A1B2F">
              <w:rPr>
                <w:rFonts w:cs="Arial"/>
                <w:sz w:val="20"/>
                <w:szCs w:val="20"/>
                <w:lang w:val="fi-FI"/>
              </w:rPr>
              <w:t>425</w:t>
            </w:r>
          </w:p>
        </w:tc>
        <w:tc>
          <w:tcPr>
            <w:tcW w:w="1460" w:type="dxa"/>
            <w:vAlign w:val="center"/>
          </w:tcPr>
          <w:p w:rsidR="006A1B2F" w:rsidRPr="006A1B2F" w:rsidRDefault="006A1B2F" w:rsidP="00237177">
            <w:pPr>
              <w:jc w:val="right"/>
              <w:rPr>
                <w:rFonts w:cs="Arial"/>
                <w:color w:val="000000"/>
                <w:sz w:val="20"/>
                <w:szCs w:val="20"/>
                <w:lang w:val="fi-FI"/>
              </w:rPr>
            </w:pPr>
            <w:r w:rsidRPr="006A1B2F">
              <w:rPr>
                <w:rFonts w:cs="Arial"/>
                <w:color w:val="000000"/>
                <w:sz w:val="20"/>
                <w:szCs w:val="20"/>
                <w:lang w:val="fi-FI"/>
              </w:rPr>
              <w:t>40</w:t>
            </w:r>
            <w:r w:rsidR="008C4D25">
              <w:rPr>
                <w:rFonts w:cs="Arial"/>
                <w:color w:val="000000"/>
                <w:sz w:val="20"/>
                <w:szCs w:val="20"/>
                <w:lang w:val="fi-FI"/>
              </w:rPr>
              <w:t>,</w:t>
            </w:r>
            <w:r w:rsidRPr="006A1B2F">
              <w:rPr>
                <w:rFonts w:cs="Arial"/>
                <w:color w:val="000000"/>
                <w:sz w:val="20"/>
                <w:szCs w:val="20"/>
                <w:lang w:val="fi-FI"/>
              </w:rPr>
              <w:t>584</w:t>
            </w:r>
            <w:r w:rsidR="008C4D25">
              <w:rPr>
                <w:rFonts w:cs="Arial"/>
                <w:color w:val="000000"/>
                <w:sz w:val="20"/>
                <w:szCs w:val="20"/>
                <w:lang w:val="fi-FI"/>
              </w:rPr>
              <w:t>,</w:t>
            </w:r>
            <w:r w:rsidRPr="006A1B2F">
              <w:rPr>
                <w:rFonts w:cs="Arial"/>
                <w:color w:val="000000"/>
                <w:sz w:val="20"/>
                <w:szCs w:val="20"/>
                <w:lang w:val="fi-FI"/>
              </w:rPr>
              <w:t>525</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Trade volume, %</w:t>
            </w:r>
          </w:p>
        </w:tc>
        <w:tc>
          <w:tcPr>
            <w:tcW w:w="1755" w:type="dxa"/>
            <w:vAlign w:val="bottom"/>
          </w:tcPr>
          <w:p w:rsidR="006A1B2F" w:rsidRPr="006A1B2F" w:rsidRDefault="006A1B2F" w:rsidP="00FC7EE7">
            <w:pPr>
              <w:jc w:val="right"/>
              <w:rPr>
                <w:rFonts w:cs="Arial"/>
                <w:sz w:val="20"/>
                <w:szCs w:val="20"/>
                <w:lang w:val="fi-FI"/>
              </w:rPr>
            </w:pPr>
            <w:r w:rsidRPr="006A1B2F">
              <w:rPr>
                <w:rFonts w:cs="Arial"/>
                <w:sz w:val="20"/>
                <w:szCs w:val="20"/>
                <w:lang w:val="fi-FI"/>
              </w:rPr>
              <w:t>14</w:t>
            </w:r>
            <w:r w:rsidR="008C4D25">
              <w:rPr>
                <w:rFonts w:cs="Arial"/>
                <w:sz w:val="20"/>
                <w:szCs w:val="20"/>
                <w:lang w:val="fi-FI"/>
              </w:rPr>
              <w:t>.</w:t>
            </w:r>
            <w:r w:rsidR="00FC7EE7">
              <w:rPr>
                <w:rFonts w:cs="Arial"/>
                <w:sz w:val="20"/>
                <w:szCs w:val="20"/>
                <w:lang w:val="fi-FI"/>
              </w:rPr>
              <w:t>1</w:t>
            </w:r>
          </w:p>
        </w:tc>
        <w:tc>
          <w:tcPr>
            <w:tcW w:w="1643" w:type="dxa"/>
            <w:vAlign w:val="bottom"/>
          </w:tcPr>
          <w:p w:rsidR="006A1B2F" w:rsidRPr="006A1B2F" w:rsidRDefault="006A1B2F" w:rsidP="00237177">
            <w:pPr>
              <w:jc w:val="right"/>
              <w:rPr>
                <w:rFonts w:cs="Arial"/>
                <w:sz w:val="20"/>
                <w:szCs w:val="20"/>
                <w:lang w:val="fi-FI"/>
              </w:rPr>
            </w:pPr>
            <w:r w:rsidRPr="006A1B2F">
              <w:rPr>
                <w:rFonts w:cs="Arial"/>
                <w:sz w:val="20"/>
                <w:szCs w:val="20"/>
                <w:lang w:val="fi-FI"/>
              </w:rPr>
              <w:t>20</w:t>
            </w:r>
            <w:r w:rsidR="008C4D25">
              <w:rPr>
                <w:rFonts w:cs="Arial"/>
                <w:sz w:val="20"/>
                <w:szCs w:val="20"/>
                <w:lang w:val="fi-FI"/>
              </w:rPr>
              <w:t>.</w:t>
            </w:r>
            <w:r w:rsidRPr="006A1B2F">
              <w:rPr>
                <w:rFonts w:cs="Arial"/>
                <w:sz w:val="20"/>
                <w:szCs w:val="20"/>
                <w:lang w:val="fi-FI"/>
              </w:rPr>
              <w:t>8</w:t>
            </w:r>
          </w:p>
        </w:tc>
        <w:tc>
          <w:tcPr>
            <w:tcW w:w="1460" w:type="dxa"/>
            <w:vAlign w:val="center"/>
          </w:tcPr>
          <w:p w:rsidR="006A1B2F" w:rsidRPr="006A1B2F" w:rsidRDefault="006A1B2F" w:rsidP="00237177">
            <w:pPr>
              <w:jc w:val="right"/>
              <w:rPr>
                <w:rFonts w:cs="Arial"/>
                <w:color w:val="000000"/>
                <w:sz w:val="20"/>
                <w:szCs w:val="20"/>
                <w:lang w:val="fi-FI"/>
              </w:rPr>
            </w:pPr>
            <w:r w:rsidRPr="006A1B2F">
              <w:rPr>
                <w:rFonts w:cs="Arial"/>
                <w:color w:val="000000"/>
                <w:sz w:val="20"/>
                <w:szCs w:val="20"/>
                <w:lang w:val="fi-FI"/>
              </w:rPr>
              <w:t>37</w:t>
            </w:r>
            <w:r w:rsidR="008C4D25">
              <w:rPr>
                <w:rFonts w:cs="Arial"/>
                <w:color w:val="000000"/>
                <w:sz w:val="20"/>
                <w:szCs w:val="20"/>
                <w:lang w:val="fi-FI"/>
              </w:rPr>
              <w:t>.</w:t>
            </w:r>
            <w:r w:rsidRPr="006A1B2F">
              <w:rPr>
                <w:rFonts w:cs="Arial"/>
                <w:color w:val="000000"/>
                <w:sz w:val="20"/>
                <w:szCs w:val="20"/>
                <w:lang w:val="fi-FI"/>
              </w:rPr>
              <w:t>2</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Investments, EUR million</w:t>
            </w:r>
          </w:p>
        </w:tc>
        <w:tc>
          <w:tcPr>
            <w:tcW w:w="1755" w:type="dxa"/>
            <w:vAlign w:val="bottom"/>
          </w:tcPr>
          <w:p w:rsidR="006A1B2F" w:rsidRPr="006A1B2F" w:rsidRDefault="006A1B2F" w:rsidP="00237177">
            <w:pPr>
              <w:jc w:val="right"/>
              <w:rPr>
                <w:rFonts w:cs="Arial"/>
                <w:sz w:val="20"/>
                <w:szCs w:val="20"/>
                <w:lang w:val="fi-FI"/>
              </w:rPr>
            </w:pPr>
            <w:r w:rsidRPr="006A1B2F">
              <w:rPr>
                <w:rFonts w:cs="Arial"/>
                <w:sz w:val="20"/>
                <w:szCs w:val="20"/>
                <w:lang w:val="fi-FI"/>
              </w:rPr>
              <w:t>0</w:t>
            </w:r>
            <w:r w:rsidR="008C4D25">
              <w:rPr>
                <w:rFonts w:cs="Arial"/>
                <w:sz w:val="20"/>
                <w:szCs w:val="20"/>
                <w:lang w:val="fi-FI"/>
              </w:rPr>
              <w:t>.</w:t>
            </w:r>
            <w:r w:rsidRPr="006A1B2F">
              <w:rPr>
                <w:rFonts w:cs="Arial"/>
                <w:sz w:val="20"/>
                <w:szCs w:val="20"/>
                <w:lang w:val="fi-FI"/>
              </w:rPr>
              <w:t>7</w:t>
            </w:r>
          </w:p>
        </w:tc>
        <w:tc>
          <w:tcPr>
            <w:tcW w:w="1643" w:type="dxa"/>
            <w:vAlign w:val="bottom"/>
          </w:tcPr>
          <w:p w:rsidR="006A1B2F" w:rsidRPr="006A1B2F" w:rsidRDefault="006A1B2F" w:rsidP="00237177">
            <w:pPr>
              <w:jc w:val="right"/>
              <w:rPr>
                <w:rFonts w:cs="Arial"/>
                <w:sz w:val="20"/>
                <w:szCs w:val="20"/>
                <w:lang w:val="fi-FI"/>
              </w:rPr>
            </w:pPr>
            <w:r w:rsidRPr="006A1B2F">
              <w:rPr>
                <w:rFonts w:cs="Arial"/>
                <w:sz w:val="20"/>
                <w:szCs w:val="20"/>
                <w:lang w:val="fi-FI"/>
              </w:rPr>
              <w:t>0</w:t>
            </w:r>
            <w:r w:rsidR="008C4D25">
              <w:rPr>
                <w:rFonts w:cs="Arial"/>
                <w:sz w:val="20"/>
                <w:szCs w:val="20"/>
                <w:lang w:val="fi-FI"/>
              </w:rPr>
              <w:t>.</w:t>
            </w:r>
            <w:r w:rsidRPr="006A1B2F">
              <w:rPr>
                <w:rFonts w:cs="Arial"/>
                <w:sz w:val="20"/>
                <w:szCs w:val="20"/>
                <w:lang w:val="fi-FI"/>
              </w:rPr>
              <w:t>0</w:t>
            </w:r>
          </w:p>
        </w:tc>
        <w:tc>
          <w:tcPr>
            <w:tcW w:w="1460" w:type="dxa"/>
            <w:vAlign w:val="center"/>
          </w:tcPr>
          <w:p w:rsidR="006A1B2F" w:rsidRPr="006A1B2F" w:rsidRDefault="006A1B2F" w:rsidP="00237177">
            <w:pPr>
              <w:jc w:val="right"/>
              <w:rPr>
                <w:rFonts w:cs="Arial"/>
                <w:color w:val="000000"/>
                <w:sz w:val="20"/>
                <w:szCs w:val="20"/>
                <w:lang w:val="fi-FI"/>
              </w:rPr>
            </w:pPr>
            <w:r w:rsidRPr="006A1B2F">
              <w:rPr>
                <w:rFonts w:cs="Arial"/>
                <w:color w:val="000000"/>
                <w:sz w:val="20"/>
                <w:szCs w:val="20"/>
                <w:lang w:val="fi-FI"/>
              </w:rPr>
              <w:t>0</w:t>
            </w:r>
            <w:r w:rsidR="008C4D25">
              <w:rPr>
                <w:rFonts w:cs="Arial"/>
                <w:color w:val="000000"/>
                <w:sz w:val="20"/>
                <w:szCs w:val="20"/>
                <w:lang w:val="fi-FI"/>
              </w:rPr>
              <w:t>.</w:t>
            </w:r>
            <w:r w:rsidRPr="006A1B2F">
              <w:rPr>
                <w:rFonts w:cs="Arial"/>
                <w:color w:val="000000"/>
                <w:sz w:val="20"/>
                <w:szCs w:val="20"/>
                <w:lang w:val="fi-FI"/>
              </w:rPr>
              <w:t>2</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 xml:space="preserve">  % of revenue</w:t>
            </w:r>
          </w:p>
        </w:tc>
        <w:tc>
          <w:tcPr>
            <w:tcW w:w="1755" w:type="dxa"/>
            <w:vAlign w:val="bottom"/>
          </w:tcPr>
          <w:p w:rsidR="006A1B2F" w:rsidRPr="006A1B2F" w:rsidRDefault="006A1B2F" w:rsidP="00237177">
            <w:pPr>
              <w:jc w:val="right"/>
              <w:rPr>
                <w:rFonts w:cs="Arial"/>
                <w:sz w:val="20"/>
                <w:szCs w:val="20"/>
                <w:lang w:val="fi-FI"/>
              </w:rPr>
            </w:pPr>
            <w:r w:rsidRPr="006A1B2F">
              <w:rPr>
                <w:rFonts w:cs="Arial"/>
                <w:sz w:val="20"/>
                <w:szCs w:val="20"/>
                <w:lang w:val="fi-FI"/>
              </w:rPr>
              <w:t>5</w:t>
            </w:r>
            <w:r w:rsidR="008C4D25">
              <w:rPr>
                <w:rFonts w:cs="Arial"/>
                <w:sz w:val="20"/>
                <w:szCs w:val="20"/>
                <w:lang w:val="fi-FI"/>
              </w:rPr>
              <w:t>.</w:t>
            </w:r>
            <w:r w:rsidRPr="006A1B2F">
              <w:rPr>
                <w:rFonts w:cs="Arial"/>
                <w:sz w:val="20"/>
                <w:szCs w:val="20"/>
                <w:lang w:val="fi-FI"/>
              </w:rPr>
              <w:t>5</w:t>
            </w:r>
          </w:p>
        </w:tc>
        <w:tc>
          <w:tcPr>
            <w:tcW w:w="1643" w:type="dxa"/>
            <w:vAlign w:val="bottom"/>
          </w:tcPr>
          <w:p w:rsidR="006A1B2F" w:rsidRPr="006A1B2F" w:rsidRDefault="006A1B2F" w:rsidP="00237177">
            <w:pPr>
              <w:jc w:val="right"/>
              <w:rPr>
                <w:rFonts w:cs="Arial"/>
                <w:sz w:val="20"/>
                <w:szCs w:val="20"/>
                <w:lang w:val="fi-FI"/>
              </w:rPr>
            </w:pPr>
            <w:r w:rsidRPr="006A1B2F">
              <w:rPr>
                <w:rFonts w:cs="Arial"/>
                <w:sz w:val="20"/>
                <w:szCs w:val="20"/>
                <w:lang w:val="fi-FI"/>
              </w:rPr>
              <w:t>0</w:t>
            </w:r>
            <w:r w:rsidR="008C4D25">
              <w:rPr>
                <w:rFonts w:cs="Arial"/>
                <w:sz w:val="20"/>
                <w:szCs w:val="20"/>
                <w:lang w:val="fi-FI"/>
              </w:rPr>
              <w:t>.</w:t>
            </w:r>
            <w:r w:rsidRPr="006A1B2F">
              <w:rPr>
                <w:rFonts w:cs="Arial"/>
                <w:sz w:val="20"/>
                <w:szCs w:val="20"/>
                <w:lang w:val="fi-FI"/>
              </w:rPr>
              <w:t>2</w:t>
            </w:r>
          </w:p>
        </w:tc>
        <w:tc>
          <w:tcPr>
            <w:tcW w:w="1460" w:type="dxa"/>
            <w:vAlign w:val="center"/>
          </w:tcPr>
          <w:p w:rsidR="006A1B2F" w:rsidRPr="006A1B2F" w:rsidRDefault="006A1B2F" w:rsidP="00237177">
            <w:pPr>
              <w:jc w:val="right"/>
              <w:rPr>
                <w:rFonts w:cs="Arial"/>
                <w:color w:val="000000"/>
                <w:sz w:val="20"/>
                <w:szCs w:val="20"/>
                <w:lang w:val="fi-FI"/>
              </w:rPr>
            </w:pPr>
            <w:r w:rsidRPr="006A1B2F">
              <w:rPr>
                <w:rFonts w:cs="Arial"/>
                <w:color w:val="000000"/>
                <w:sz w:val="20"/>
                <w:szCs w:val="20"/>
                <w:lang w:val="fi-FI"/>
              </w:rPr>
              <w:t>1</w:t>
            </w:r>
            <w:r w:rsidR="008C4D25">
              <w:rPr>
                <w:rFonts w:cs="Arial"/>
                <w:color w:val="000000"/>
                <w:sz w:val="20"/>
                <w:szCs w:val="20"/>
                <w:lang w:val="fi-FI"/>
              </w:rPr>
              <w:t>.</w:t>
            </w:r>
            <w:r w:rsidRPr="006A1B2F">
              <w:rPr>
                <w:rFonts w:cs="Arial"/>
                <w:color w:val="000000"/>
                <w:sz w:val="20"/>
                <w:szCs w:val="20"/>
                <w:lang w:val="fi-FI"/>
              </w:rPr>
              <w:t>1</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Average number of employees</w:t>
            </w:r>
          </w:p>
        </w:tc>
        <w:tc>
          <w:tcPr>
            <w:tcW w:w="1755" w:type="dxa"/>
            <w:vAlign w:val="center"/>
          </w:tcPr>
          <w:p w:rsidR="006A1B2F" w:rsidRPr="006A1B2F" w:rsidRDefault="00821BA8" w:rsidP="00237177">
            <w:pPr>
              <w:jc w:val="right"/>
              <w:rPr>
                <w:rFonts w:cs="Arial"/>
                <w:color w:val="FF0000"/>
                <w:sz w:val="20"/>
                <w:szCs w:val="20"/>
                <w:lang w:val="fi-FI"/>
              </w:rPr>
            </w:pPr>
            <w:r w:rsidRPr="00821BA8">
              <w:rPr>
                <w:rFonts w:cs="Arial"/>
                <w:sz w:val="20"/>
                <w:szCs w:val="20"/>
                <w:lang w:val="fi-FI"/>
              </w:rPr>
              <w:t>393</w:t>
            </w:r>
          </w:p>
        </w:tc>
        <w:tc>
          <w:tcPr>
            <w:tcW w:w="1643" w:type="dxa"/>
            <w:vAlign w:val="center"/>
          </w:tcPr>
          <w:p w:rsidR="006A1B2F" w:rsidRPr="006A1B2F" w:rsidRDefault="006A1B2F" w:rsidP="00237177">
            <w:pPr>
              <w:jc w:val="right"/>
              <w:rPr>
                <w:rFonts w:cs="Arial"/>
                <w:sz w:val="20"/>
                <w:szCs w:val="20"/>
                <w:lang w:val="fi-FI"/>
              </w:rPr>
            </w:pPr>
            <w:r w:rsidRPr="006A1B2F">
              <w:rPr>
                <w:rFonts w:cs="Arial"/>
                <w:sz w:val="20"/>
                <w:szCs w:val="20"/>
                <w:lang w:val="fi-FI"/>
              </w:rPr>
              <w:t>387</w:t>
            </w:r>
          </w:p>
        </w:tc>
        <w:tc>
          <w:tcPr>
            <w:tcW w:w="1460" w:type="dxa"/>
            <w:vAlign w:val="center"/>
          </w:tcPr>
          <w:p w:rsidR="006A1B2F" w:rsidRPr="006A1B2F" w:rsidRDefault="006A1B2F" w:rsidP="00237177">
            <w:pPr>
              <w:jc w:val="right"/>
              <w:rPr>
                <w:rFonts w:cs="Arial"/>
                <w:color w:val="000000"/>
                <w:sz w:val="20"/>
                <w:szCs w:val="20"/>
                <w:lang w:val="fi-FI"/>
              </w:rPr>
            </w:pPr>
            <w:r w:rsidRPr="006A1B2F">
              <w:rPr>
                <w:rFonts w:cs="Arial"/>
                <w:color w:val="000000"/>
                <w:sz w:val="20"/>
                <w:szCs w:val="20"/>
                <w:lang w:val="fi-FI"/>
              </w:rPr>
              <w:t>404</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p>
        </w:tc>
        <w:tc>
          <w:tcPr>
            <w:tcW w:w="1755" w:type="dxa"/>
          </w:tcPr>
          <w:p w:rsidR="00C8450C" w:rsidRPr="003E3697" w:rsidRDefault="00C8450C" w:rsidP="00F923C3">
            <w:pPr>
              <w:jc w:val="right"/>
              <w:rPr>
                <w:rFonts w:cs="Arial"/>
                <w:sz w:val="20"/>
              </w:rPr>
            </w:pPr>
          </w:p>
        </w:tc>
        <w:tc>
          <w:tcPr>
            <w:tcW w:w="1643" w:type="dxa"/>
          </w:tcPr>
          <w:p w:rsidR="00C8450C" w:rsidRPr="003E3697" w:rsidRDefault="00C8450C" w:rsidP="00F923C3">
            <w:pPr>
              <w:jc w:val="right"/>
              <w:rPr>
                <w:rFonts w:cs="Arial"/>
                <w:sz w:val="20"/>
              </w:rPr>
            </w:pPr>
          </w:p>
        </w:tc>
        <w:tc>
          <w:tcPr>
            <w:tcW w:w="1460" w:type="dxa"/>
          </w:tcPr>
          <w:p w:rsidR="00C8450C" w:rsidRPr="003E3697" w:rsidRDefault="00C8450C" w:rsidP="00F923C3">
            <w:pPr>
              <w:jc w:val="right"/>
              <w:rPr>
                <w:rFonts w:cs="Arial"/>
                <w:sz w:val="20"/>
              </w:rPr>
            </w:pP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r>
              <w:rPr>
                <w:rFonts w:cs="Arial"/>
                <w:sz w:val="20"/>
                <w:lang w:eastAsia="fi-FI"/>
              </w:rPr>
              <w:t xml:space="preserve">CONTINGENT </w:t>
            </w:r>
            <w:r w:rsidRPr="003E3697">
              <w:rPr>
                <w:rFonts w:cs="Arial"/>
                <w:sz w:val="20"/>
                <w:lang w:eastAsia="fi-FI"/>
              </w:rPr>
              <w:t>LIABILITIES, EUR million</w:t>
            </w:r>
          </w:p>
        </w:tc>
        <w:tc>
          <w:tcPr>
            <w:tcW w:w="1755" w:type="dxa"/>
          </w:tcPr>
          <w:p w:rsidR="00C8450C" w:rsidRPr="003E3697" w:rsidRDefault="00C8450C" w:rsidP="00F923C3">
            <w:pPr>
              <w:jc w:val="right"/>
              <w:rPr>
                <w:rFonts w:cs="Arial"/>
                <w:sz w:val="20"/>
              </w:rPr>
            </w:pPr>
          </w:p>
        </w:tc>
        <w:tc>
          <w:tcPr>
            <w:tcW w:w="1643" w:type="dxa"/>
          </w:tcPr>
          <w:p w:rsidR="00C8450C" w:rsidRPr="003E3697" w:rsidRDefault="00C8450C" w:rsidP="00F923C3">
            <w:pPr>
              <w:jc w:val="right"/>
              <w:rPr>
                <w:rFonts w:cs="Arial"/>
                <w:sz w:val="20"/>
              </w:rPr>
            </w:pPr>
          </w:p>
        </w:tc>
        <w:tc>
          <w:tcPr>
            <w:tcW w:w="1460" w:type="dxa"/>
          </w:tcPr>
          <w:p w:rsidR="00C8450C" w:rsidRPr="003E3697" w:rsidRDefault="00C8450C" w:rsidP="00F923C3">
            <w:pPr>
              <w:jc w:val="right"/>
              <w:rPr>
                <w:rFonts w:cs="Arial"/>
                <w:sz w:val="20"/>
              </w:rPr>
            </w:pPr>
          </w:p>
        </w:tc>
      </w:tr>
      <w:tr w:rsidR="00C8450C" w:rsidRPr="003E3697" w:rsidTr="00BF763D">
        <w:trPr>
          <w:trHeight w:val="328"/>
        </w:trPr>
        <w:tc>
          <w:tcPr>
            <w:tcW w:w="5171" w:type="dxa"/>
            <w:noWrap/>
          </w:tcPr>
          <w:p w:rsidR="00C8450C" w:rsidRPr="003E3697" w:rsidRDefault="00C8450C" w:rsidP="00F923C3">
            <w:pPr>
              <w:tabs>
                <w:tab w:val="left" w:pos="1550"/>
              </w:tabs>
              <w:rPr>
                <w:rFonts w:cs="Arial"/>
                <w:sz w:val="20"/>
                <w:lang w:eastAsia="fi-FI"/>
              </w:rPr>
            </w:pPr>
            <w:r w:rsidRPr="003E3697">
              <w:rPr>
                <w:rFonts w:cs="Arial"/>
                <w:sz w:val="20"/>
                <w:lang w:eastAsia="fi-FI"/>
              </w:rPr>
              <w:t>FOR OWN LIABILITIES</w:t>
            </w:r>
          </w:p>
        </w:tc>
        <w:tc>
          <w:tcPr>
            <w:tcW w:w="1755" w:type="dxa"/>
          </w:tcPr>
          <w:p w:rsidR="00C8450C" w:rsidRPr="003E3697" w:rsidRDefault="00C8450C" w:rsidP="00F923C3">
            <w:pPr>
              <w:jc w:val="right"/>
              <w:rPr>
                <w:rFonts w:cs="Arial"/>
                <w:sz w:val="20"/>
              </w:rPr>
            </w:pPr>
          </w:p>
        </w:tc>
        <w:tc>
          <w:tcPr>
            <w:tcW w:w="1643" w:type="dxa"/>
          </w:tcPr>
          <w:p w:rsidR="00C8450C" w:rsidRPr="003E3697" w:rsidRDefault="00C8450C" w:rsidP="00F923C3">
            <w:pPr>
              <w:jc w:val="right"/>
              <w:rPr>
                <w:rFonts w:cs="Arial"/>
                <w:sz w:val="20"/>
              </w:rPr>
            </w:pPr>
          </w:p>
        </w:tc>
        <w:tc>
          <w:tcPr>
            <w:tcW w:w="1460" w:type="dxa"/>
          </w:tcPr>
          <w:p w:rsidR="00C8450C" w:rsidRPr="003E3697" w:rsidRDefault="00C8450C" w:rsidP="00F923C3">
            <w:pPr>
              <w:jc w:val="right"/>
              <w:rPr>
                <w:rFonts w:cs="Arial"/>
                <w:sz w:val="20"/>
              </w:rPr>
            </w:pP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Mortgages and pledges</w:t>
            </w:r>
          </w:p>
        </w:tc>
        <w:tc>
          <w:tcPr>
            <w:tcW w:w="1755" w:type="dxa"/>
            <w:vAlign w:val="center"/>
          </w:tcPr>
          <w:p w:rsidR="006A1B2F" w:rsidRPr="008D318E" w:rsidRDefault="006A1B2F" w:rsidP="00237177">
            <w:pPr>
              <w:jc w:val="right"/>
              <w:rPr>
                <w:rFonts w:cs="Arial"/>
                <w:sz w:val="20"/>
                <w:szCs w:val="20"/>
                <w:lang w:val="fi-FI"/>
              </w:rPr>
            </w:pPr>
            <w:r w:rsidRPr="008D318E">
              <w:rPr>
                <w:rFonts w:cs="Arial"/>
                <w:sz w:val="20"/>
                <w:szCs w:val="20"/>
                <w:lang w:val="fi-FI"/>
              </w:rPr>
              <w:t>14</w:t>
            </w:r>
            <w:r w:rsidR="008C4D25">
              <w:rPr>
                <w:rFonts w:cs="Arial"/>
                <w:sz w:val="20"/>
                <w:szCs w:val="20"/>
                <w:lang w:val="fi-FI"/>
              </w:rPr>
              <w:t>.</w:t>
            </w:r>
            <w:r w:rsidRPr="008D318E">
              <w:rPr>
                <w:rFonts w:cs="Arial"/>
                <w:sz w:val="20"/>
                <w:szCs w:val="20"/>
                <w:lang w:val="fi-FI"/>
              </w:rPr>
              <w:t>7</w:t>
            </w:r>
          </w:p>
        </w:tc>
        <w:tc>
          <w:tcPr>
            <w:tcW w:w="1643"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12</w:t>
            </w:r>
            <w:r w:rsidR="008C4D25">
              <w:rPr>
                <w:rFonts w:cs="Arial"/>
                <w:color w:val="000000"/>
                <w:sz w:val="20"/>
                <w:szCs w:val="20"/>
                <w:lang w:val="fi-FI"/>
              </w:rPr>
              <w:t>.</w:t>
            </w:r>
            <w:r w:rsidRPr="00747871">
              <w:rPr>
                <w:rFonts w:cs="Arial"/>
                <w:color w:val="000000"/>
                <w:sz w:val="20"/>
                <w:szCs w:val="20"/>
                <w:lang w:val="fi-FI"/>
              </w:rPr>
              <w:t>7</w:t>
            </w:r>
          </w:p>
        </w:tc>
        <w:tc>
          <w:tcPr>
            <w:tcW w:w="1460"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14</w:t>
            </w:r>
            <w:r w:rsidR="008C4D25">
              <w:rPr>
                <w:rFonts w:cs="Arial"/>
                <w:color w:val="000000"/>
                <w:sz w:val="20"/>
                <w:szCs w:val="20"/>
                <w:lang w:val="fi-FI"/>
              </w:rPr>
              <w:t>.</w:t>
            </w:r>
            <w:r w:rsidRPr="00747871">
              <w:rPr>
                <w:rFonts w:cs="Arial"/>
                <w:color w:val="000000"/>
                <w:sz w:val="20"/>
                <w:szCs w:val="20"/>
                <w:lang w:val="fi-FI"/>
              </w:rPr>
              <w:t>5</w:t>
            </w:r>
          </w:p>
        </w:tc>
      </w:tr>
      <w:tr w:rsidR="00C8450C" w:rsidRPr="003E3697" w:rsidTr="00BF763D">
        <w:trPr>
          <w:trHeight w:val="225"/>
        </w:trPr>
        <w:tc>
          <w:tcPr>
            <w:tcW w:w="5171" w:type="dxa"/>
            <w:noWrap/>
          </w:tcPr>
          <w:p w:rsidR="00C8450C" w:rsidRPr="003E3697" w:rsidRDefault="00C8450C" w:rsidP="00F923C3">
            <w:pPr>
              <w:tabs>
                <w:tab w:val="left" w:pos="1550"/>
              </w:tabs>
              <w:rPr>
                <w:rFonts w:cs="Arial"/>
                <w:sz w:val="20"/>
                <w:lang w:eastAsia="fi-FI"/>
              </w:rPr>
            </w:pPr>
          </w:p>
        </w:tc>
        <w:tc>
          <w:tcPr>
            <w:tcW w:w="1755" w:type="dxa"/>
          </w:tcPr>
          <w:p w:rsidR="00C8450C" w:rsidRPr="003E3697" w:rsidRDefault="00C8450C" w:rsidP="00F26DE6">
            <w:pPr>
              <w:ind w:left="426"/>
              <w:jc w:val="right"/>
              <w:rPr>
                <w:rFonts w:cs="Arial"/>
                <w:sz w:val="20"/>
                <w:szCs w:val="18"/>
              </w:rPr>
            </w:pPr>
          </w:p>
        </w:tc>
        <w:tc>
          <w:tcPr>
            <w:tcW w:w="1643" w:type="dxa"/>
          </w:tcPr>
          <w:p w:rsidR="00C8450C" w:rsidRPr="003E3697" w:rsidRDefault="00C8450C" w:rsidP="00F26DE6">
            <w:pPr>
              <w:ind w:left="426"/>
              <w:jc w:val="right"/>
              <w:rPr>
                <w:rFonts w:cs="Arial"/>
                <w:sz w:val="20"/>
                <w:szCs w:val="18"/>
              </w:rPr>
            </w:pPr>
          </w:p>
        </w:tc>
        <w:tc>
          <w:tcPr>
            <w:tcW w:w="1460" w:type="dxa"/>
          </w:tcPr>
          <w:p w:rsidR="00C8450C" w:rsidRPr="003E3697" w:rsidRDefault="00C8450C" w:rsidP="00F26DE6">
            <w:pPr>
              <w:ind w:left="426"/>
              <w:jc w:val="right"/>
              <w:rPr>
                <w:rFonts w:cs="Arial"/>
                <w:sz w:val="20"/>
                <w:szCs w:val="18"/>
              </w:rPr>
            </w:pPr>
          </w:p>
        </w:tc>
      </w:tr>
      <w:tr w:rsidR="006A1B2F" w:rsidRPr="003E3697" w:rsidTr="00BF763D">
        <w:trPr>
          <w:trHeight w:val="225"/>
        </w:trPr>
        <w:tc>
          <w:tcPr>
            <w:tcW w:w="5171" w:type="dxa"/>
            <w:noWrap/>
          </w:tcPr>
          <w:p w:rsidR="006A1B2F" w:rsidRPr="003E3697" w:rsidRDefault="006A1B2F" w:rsidP="00721976">
            <w:pPr>
              <w:tabs>
                <w:tab w:val="left" w:pos="1550"/>
              </w:tabs>
              <w:rPr>
                <w:rFonts w:cs="Arial"/>
                <w:sz w:val="20"/>
                <w:lang w:eastAsia="fi-FI"/>
              </w:rPr>
            </w:pPr>
            <w:r w:rsidRPr="003E3697">
              <w:rPr>
                <w:rFonts w:cs="Arial"/>
                <w:sz w:val="20"/>
                <w:lang w:eastAsia="fi-FI"/>
              </w:rPr>
              <w:t xml:space="preserve">Off-balance sheet liabilities       </w:t>
            </w:r>
          </w:p>
        </w:tc>
        <w:tc>
          <w:tcPr>
            <w:tcW w:w="1755" w:type="dxa"/>
            <w:vAlign w:val="center"/>
          </w:tcPr>
          <w:p w:rsidR="006A1B2F" w:rsidRPr="008D318E" w:rsidRDefault="006A1B2F" w:rsidP="00237177">
            <w:pPr>
              <w:jc w:val="right"/>
              <w:rPr>
                <w:rFonts w:cs="Arial"/>
                <w:sz w:val="20"/>
                <w:szCs w:val="20"/>
                <w:lang w:val="fi-FI"/>
              </w:rPr>
            </w:pPr>
            <w:r w:rsidRPr="008D318E">
              <w:rPr>
                <w:rFonts w:cs="Arial"/>
                <w:sz w:val="20"/>
                <w:szCs w:val="20"/>
                <w:lang w:val="fi-FI"/>
              </w:rPr>
              <w:t>4</w:t>
            </w:r>
            <w:r w:rsidR="008C4D25">
              <w:rPr>
                <w:rFonts w:cs="Arial"/>
                <w:sz w:val="20"/>
                <w:szCs w:val="20"/>
                <w:lang w:val="fi-FI"/>
              </w:rPr>
              <w:t>.</w:t>
            </w:r>
            <w:r w:rsidRPr="008D318E">
              <w:rPr>
                <w:rFonts w:cs="Arial"/>
                <w:sz w:val="20"/>
                <w:szCs w:val="20"/>
                <w:lang w:val="fi-FI"/>
              </w:rPr>
              <w:t>8</w:t>
            </w:r>
          </w:p>
        </w:tc>
        <w:tc>
          <w:tcPr>
            <w:tcW w:w="1643"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5</w:t>
            </w:r>
            <w:r w:rsidR="008C4D25">
              <w:rPr>
                <w:rFonts w:cs="Arial"/>
                <w:color w:val="000000"/>
                <w:sz w:val="20"/>
                <w:szCs w:val="20"/>
                <w:lang w:val="fi-FI"/>
              </w:rPr>
              <w:t>.</w:t>
            </w:r>
            <w:r w:rsidRPr="00747871">
              <w:rPr>
                <w:rFonts w:cs="Arial"/>
                <w:color w:val="000000"/>
                <w:sz w:val="20"/>
                <w:szCs w:val="20"/>
                <w:lang w:val="fi-FI"/>
              </w:rPr>
              <w:t>0</w:t>
            </w:r>
          </w:p>
        </w:tc>
        <w:tc>
          <w:tcPr>
            <w:tcW w:w="1460"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4</w:t>
            </w:r>
            <w:r w:rsidR="008C4D25">
              <w:rPr>
                <w:rFonts w:cs="Arial"/>
                <w:color w:val="000000"/>
                <w:sz w:val="20"/>
                <w:szCs w:val="20"/>
                <w:lang w:val="fi-FI"/>
              </w:rPr>
              <w:t>.</w:t>
            </w:r>
            <w:r w:rsidRPr="00747871">
              <w:rPr>
                <w:rFonts w:cs="Arial"/>
                <w:color w:val="000000"/>
                <w:sz w:val="20"/>
                <w:szCs w:val="20"/>
                <w:lang w:val="fi-FI"/>
              </w:rPr>
              <w:t>0</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p>
        </w:tc>
        <w:tc>
          <w:tcPr>
            <w:tcW w:w="1755" w:type="dxa"/>
            <w:vAlign w:val="center"/>
          </w:tcPr>
          <w:p w:rsidR="006A1B2F" w:rsidRPr="00747871" w:rsidRDefault="006A1B2F" w:rsidP="00237177">
            <w:pPr>
              <w:jc w:val="right"/>
              <w:rPr>
                <w:rFonts w:cs="Arial"/>
                <w:color w:val="FF0000"/>
                <w:sz w:val="20"/>
                <w:szCs w:val="20"/>
                <w:lang w:val="fi-FI"/>
              </w:rPr>
            </w:pPr>
          </w:p>
        </w:tc>
        <w:tc>
          <w:tcPr>
            <w:tcW w:w="1643" w:type="dxa"/>
            <w:vAlign w:val="center"/>
          </w:tcPr>
          <w:p w:rsidR="006A1B2F" w:rsidRPr="00747871" w:rsidRDefault="006A1B2F" w:rsidP="00237177">
            <w:pPr>
              <w:jc w:val="right"/>
              <w:rPr>
                <w:rFonts w:cs="Arial"/>
                <w:color w:val="000000"/>
                <w:sz w:val="20"/>
                <w:szCs w:val="20"/>
                <w:lang w:val="fi-FI"/>
              </w:rPr>
            </w:pPr>
          </w:p>
        </w:tc>
        <w:tc>
          <w:tcPr>
            <w:tcW w:w="1460" w:type="dxa"/>
            <w:vAlign w:val="center"/>
          </w:tcPr>
          <w:p w:rsidR="006A1B2F" w:rsidRPr="00747871" w:rsidRDefault="006A1B2F" w:rsidP="00237177">
            <w:pPr>
              <w:jc w:val="right"/>
              <w:rPr>
                <w:rFonts w:cs="Arial"/>
                <w:color w:val="000000"/>
                <w:sz w:val="20"/>
                <w:szCs w:val="20"/>
                <w:lang w:val="fi-FI"/>
              </w:rPr>
            </w:pP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Nominal value of currency options, EUR thousand</w:t>
            </w:r>
          </w:p>
        </w:tc>
        <w:tc>
          <w:tcPr>
            <w:tcW w:w="1755"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p>
        </w:tc>
        <w:tc>
          <w:tcPr>
            <w:tcW w:w="1643"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0</w:t>
            </w:r>
          </w:p>
        </w:tc>
        <w:tc>
          <w:tcPr>
            <w:tcW w:w="1460"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0</w:t>
            </w:r>
          </w:p>
        </w:tc>
      </w:tr>
      <w:tr w:rsidR="006A1B2F" w:rsidRPr="003E3697" w:rsidTr="00BF763D">
        <w:trPr>
          <w:trHeight w:val="225"/>
        </w:trPr>
        <w:tc>
          <w:tcPr>
            <w:tcW w:w="5171" w:type="dxa"/>
            <w:noWrap/>
          </w:tcPr>
          <w:p w:rsidR="006A1B2F" w:rsidRPr="003E3697" w:rsidRDefault="006A1B2F" w:rsidP="00F923C3">
            <w:pPr>
              <w:tabs>
                <w:tab w:val="left" w:pos="1550"/>
              </w:tabs>
              <w:rPr>
                <w:rFonts w:cs="Arial"/>
                <w:sz w:val="20"/>
                <w:lang w:eastAsia="fi-FI"/>
              </w:rPr>
            </w:pPr>
            <w:r w:rsidRPr="003E3697">
              <w:rPr>
                <w:rFonts w:cs="Arial"/>
                <w:sz w:val="20"/>
                <w:lang w:eastAsia="fi-FI"/>
              </w:rPr>
              <w:t>Fair values of currency options, EUR thousand</w:t>
            </w:r>
          </w:p>
        </w:tc>
        <w:tc>
          <w:tcPr>
            <w:tcW w:w="1755" w:type="dxa"/>
            <w:vAlign w:val="center"/>
          </w:tcPr>
          <w:p w:rsidR="006A1B2F" w:rsidRPr="00747871" w:rsidRDefault="006A1B2F" w:rsidP="00237177">
            <w:pPr>
              <w:jc w:val="right"/>
              <w:rPr>
                <w:rFonts w:cs="Arial"/>
                <w:sz w:val="20"/>
                <w:szCs w:val="20"/>
                <w:lang w:val="fi-FI"/>
              </w:rPr>
            </w:pPr>
            <w:r w:rsidRPr="00747871">
              <w:rPr>
                <w:rFonts w:cs="Arial"/>
                <w:sz w:val="20"/>
                <w:szCs w:val="20"/>
                <w:lang w:val="fi-FI"/>
              </w:rPr>
              <w:t>0</w:t>
            </w:r>
          </w:p>
        </w:tc>
        <w:tc>
          <w:tcPr>
            <w:tcW w:w="1643"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0</w:t>
            </w:r>
          </w:p>
        </w:tc>
        <w:tc>
          <w:tcPr>
            <w:tcW w:w="1460" w:type="dxa"/>
            <w:vAlign w:val="center"/>
          </w:tcPr>
          <w:p w:rsidR="006A1B2F" w:rsidRPr="00747871" w:rsidRDefault="006A1B2F" w:rsidP="00237177">
            <w:pPr>
              <w:jc w:val="right"/>
              <w:rPr>
                <w:rFonts w:cs="Arial"/>
                <w:color w:val="000000"/>
                <w:sz w:val="20"/>
                <w:szCs w:val="20"/>
                <w:lang w:val="fi-FI"/>
              </w:rPr>
            </w:pPr>
            <w:r w:rsidRPr="00747871">
              <w:rPr>
                <w:rFonts w:cs="Arial"/>
                <w:color w:val="000000"/>
                <w:sz w:val="20"/>
                <w:szCs w:val="20"/>
                <w:lang w:val="fi-FI"/>
              </w:rPr>
              <w:t>0</w:t>
            </w:r>
          </w:p>
        </w:tc>
      </w:tr>
      <w:tr w:rsidR="00C8450C" w:rsidRPr="003E3697" w:rsidTr="00BF763D">
        <w:trPr>
          <w:trHeight w:val="225"/>
        </w:trPr>
        <w:tc>
          <w:tcPr>
            <w:tcW w:w="8569" w:type="dxa"/>
            <w:gridSpan w:val="3"/>
            <w:noWrap/>
          </w:tcPr>
          <w:p w:rsidR="00C8450C" w:rsidRPr="003E3697" w:rsidRDefault="00C8450C" w:rsidP="00F923C3">
            <w:pPr>
              <w:jc w:val="right"/>
              <w:rPr>
                <w:rFonts w:cs="Arial"/>
                <w:sz w:val="20"/>
                <w:lang w:val="en-US"/>
              </w:rPr>
            </w:pPr>
          </w:p>
        </w:tc>
        <w:tc>
          <w:tcPr>
            <w:tcW w:w="1460" w:type="dxa"/>
          </w:tcPr>
          <w:p w:rsidR="00C8450C" w:rsidRPr="003E3697" w:rsidRDefault="00C8450C" w:rsidP="00F923C3">
            <w:pPr>
              <w:tabs>
                <w:tab w:val="left" w:pos="1550"/>
              </w:tabs>
              <w:rPr>
                <w:rFonts w:cs="Arial"/>
                <w:sz w:val="20"/>
                <w:lang w:eastAsia="fi-FI"/>
              </w:rPr>
            </w:pPr>
          </w:p>
        </w:tc>
      </w:tr>
    </w:tbl>
    <w:p w:rsidR="00A466B8" w:rsidRPr="008951BF" w:rsidRDefault="00A466B8" w:rsidP="00A466B8">
      <w:pPr>
        <w:rPr>
          <w:rFonts w:cs="Arial"/>
          <w:lang w:val="en-US"/>
        </w:rPr>
      </w:pPr>
    </w:p>
    <w:p w:rsidR="00A466B8" w:rsidRPr="008951BF" w:rsidRDefault="00A466B8" w:rsidP="00A466B8">
      <w:pPr>
        <w:rPr>
          <w:rFonts w:cs="Arial"/>
          <w:lang w:val="en-US"/>
        </w:rPr>
      </w:pPr>
      <w:r w:rsidRPr="008951BF">
        <w:rPr>
          <w:rFonts w:cs="Arial"/>
          <w:lang w:val="en-US"/>
        </w:rPr>
        <w:br w:type="page"/>
      </w:r>
    </w:p>
    <w:p w:rsidR="00A466B8" w:rsidRPr="008951BF" w:rsidRDefault="00A466B8" w:rsidP="00A466B8">
      <w:pPr>
        <w:rPr>
          <w:rFonts w:cs="Arial"/>
        </w:rPr>
      </w:pPr>
      <w:r w:rsidRPr="008951BF">
        <w:rPr>
          <w:rFonts w:cs="Arial"/>
        </w:rPr>
        <w:lastRenderedPageBreak/>
        <w:t xml:space="preserve">Annex </w:t>
      </w:r>
      <w:r w:rsidR="006A1B2F">
        <w:rPr>
          <w:rFonts w:cs="Arial"/>
        </w:rPr>
        <w:t>6</w:t>
      </w:r>
    </w:p>
    <w:p w:rsidR="00A466B8" w:rsidRPr="008951BF" w:rsidRDefault="00A466B8" w:rsidP="00A466B8">
      <w:pPr>
        <w:rPr>
          <w:rFonts w:cs="Arial"/>
        </w:rPr>
      </w:pPr>
      <w:r w:rsidRPr="008951BF">
        <w:rPr>
          <w:rFonts w:cs="Arial"/>
          <w:b/>
          <w:bCs/>
          <w:lang w:eastAsia="fi-FI"/>
        </w:rPr>
        <w:t>CALCULATION OF KEY FIGURES</w:t>
      </w:r>
    </w:p>
    <w:p w:rsidR="00A466B8" w:rsidRPr="008951BF" w:rsidRDefault="00A466B8" w:rsidP="00A466B8">
      <w:pPr>
        <w:rPr>
          <w:rFonts w:cs="Arial"/>
        </w:rPr>
      </w:pPr>
    </w:p>
    <w:tbl>
      <w:tblPr>
        <w:tblW w:w="10500" w:type="dxa"/>
        <w:tblInd w:w="57" w:type="dxa"/>
        <w:tblCellMar>
          <w:left w:w="70" w:type="dxa"/>
          <w:right w:w="70" w:type="dxa"/>
        </w:tblCellMar>
        <w:tblLook w:val="0000" w:firstRow="0" w:lastRow="0" w:firstColumn="0" w:lastColumn="0" w:noHBand="0" w:noVBand="0"/>
      </w:tblPr>
      <w:tblGrid>
        <w:gridCol w:w="4520"/>
        <w:gridCol w:w="5980"/>
      </w:tblGrid>
      <w:tr w:rsidR="00A466B8" w:rsidRPr="003E3697" w:rsidTr="00F923C3">
        <w:trPr>
          <w:trHeight w:val="225"/>
        </w:trPr>
        <w:tc>
          <w:tcPr>
            <w:tcW w:w="10500" w:type="dxa"/>
            <w:gridSpan w:val="2"/>
            <w:tcBorders>
              <w:top w:val="nil"/>
              <w:left w:val="nil"/>
              <w:bottom w:val="nil"/>
              <w:right w:val="nil"/>
            </w:tcBorders>
            <w:noWrap/>
            <w:vAlign w:val="bottom"/>
          </w:tcPr>
          <w:p w:rsidR="00A466B8" w:rsidRPr="003E3697" w:rsidRDefault="00A466B8" w:rsidP="00F923C3">
            <w:pPr>
              <w:rPr>
                <w:rFonts w:cs="Arial"/>
                <w:sz w:val="20"/>
                <w:lang w:eastAsia="fi-FI"/>
              </w:rPr>
            </w:pP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p w:rsidR="00A466B8" w:rsidRPr="003E3697" w:rsidRDefault="00A466B8" w:rsidP="00F923C3">
            <w:pPr>
              <w:rPr>
                <w:rFonts w:cs="Arial"/>
                <w:sz w:val="20"/>
                <w:lang w:eastAsia="fi-FI"/>
              </w:rPr>
            </w:pPr>
          </w:p>
          <w:p w:rsidR="00A466B8" w:rsidRPr="003E3697" w:rsidRDefault="00A466B8" w:rsidP="00F923C3">
            <w:pPr>
              <w:rPr>
                <w:rFonts w:cs="Arial"/>
                <w:sz w:val="20"/>
                <w:lang w:eastAsia="fi-FI"/>
              </w:rPr>
            </w:pPr>
            <w:r w:rsidRPr="003E3697">
              <w:rPr>
                <w:rFonts w:cs="Arial"/>
                <w:sz w:val="20"/>
                <w:lang w:eastAsia="fi-FI"/>
              </w:rPr>
              <w:t>Return on investment, %</w:t>
            </w:r>
          </w:p>
        </w:tc>
        <w:tc>
          <w:tcPr>
            <w:tcW w:w="5980" w:type="dxa"/>
            <w:tcBorders>
              <w:top w:val="nil"/>
              <w:left w:val="nil"/>
              <w:bottom w:val="single" w:sz="4" w:space="0" w:color="auto"/>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100 x (profit/loss for the period + financial expenses)</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 xml:space="preserve">equity + interest-bearing financing loans </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b/>
                <w:bCs/>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 xml:space="preserve">Return on equity, %                  </w:t>
            </w:r>
          </w:p>
        </w:tc>
        <w:tc>
          <w:tcPr>
            <w:tcW w:w="5980" w:type="dxa"/>
            <w:tcBorders>
              <w:top w:val="nil"/>
              <w:left w:val="nil"/>
              <w:bottom w:val="single" w:sz="4" w:space="0" w:color="auto"/>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100 x profit/loss for the period</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 xml:space="preserve"> </w:t>
            </w: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average equity during the financial period</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 xml:space="preserve"> </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Equity ratio, %</w:t>
            </w:r>
          </w:p>
        </w:tc>
        <w:tc>
          <w:tcPr>
            <w:tcW w:w="5980" w:type="dxa"/>
            <w:tcBorders>
              <w:top w:val="nil"/>
              <w:left w:val="nil"/>
              <w:bottom w:val="single" w:sz="4" w:space="0" w:color="auto"/>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100 x equity</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balance sheet total - advances received</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Gearing, %</w:t>
            </w:r>
          </w:p>
        </w:tc>
        <w:tc>
          <w:tcPr>
            <w:tcW w:w="5980" w:type="dxa"/>
            <w:tcBorders>
              <w:top w:val="nil"/>
              <w:left w:val="nil"/>
              <w:bottom w:val="single" w:sz="4" w:space="0" w:color="auto"/>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100 x interest-bearing net financing loans</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 xml:space="preserve">equity </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Net liabilities</w:t>
            </w: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liabilities - current assets</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Quick ratio</w:t>
            </w:r>
          </w:p>
        </w:tc>
        <w:tc>
          <w:tcPr>
            <w:tcW w:w="5980" w:type="dxa"/>
            <w:tcBorders>
              <w:top w:val="nil"/>
              <w:left w:val="nil"/>
              <w:bottom w:val="single" w:sz="4" w:space="0" w:color="auto"/>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current assets</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short-term liabilities - short-term advances received</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 xml:space="preserve"> </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Current ratio</w:t>
            </w:r>
          </w:p>
        </w:tc>
        <w:tc>
          <w:tcPr>
            <w:tcW w:w="5980" w:type="dxa"/>
            <w:tcBorders>
              <w:top w:val="nil"/>
              <w:left w:val="nil"/>
              <w:bottom w:val="single" w:sz="4" w:space="0" w:color="auto"/>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current assets + inventories</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short-term liabilities</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 xml:space="preserve"> </w:t>
            </w: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 xml:space="preserve"> </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Earnings per share</w:t>
            </w:r>
          </w:p>
        </w:tc>
        <w:tc>
          <w:tcPr>
            <w:tcW w:w="5980" w:type="dxa"/>
            <w:tcBorders>
              <w:top w:val="nil"/>
              <w:left w:val="nil"/>
              <w:bottom w:val="single" w:sz="4" w:space="0" w:color="auto"/>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net profit/loss for the period</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average number of shares during the period, adjusted for share issues</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 xml:space="preserve"> </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Equity per share</w:t>
            </w:r>
          </w:p>
        </w:tc>
        <w:tc>
          <w:tcPr>
            <w:tcW w:w="5980" w:type="dxa"/>
            <w:tcBorders>
              <w:top w:val="nil"/>
              <w:left w:val="nil"/>
              <w:bottom w:val="single" w:sz="4" w:space="0" w:color="auto"/>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equity</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number of shares at the end of the period, adjusted for share issues</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Capital expenditure</w:t>
            </w: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VAT-exclusive working capital acquisitions, without deduction of investment subsidies</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Average number of employees</w:t>
            </w: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average of personnel numbers calculated at the end of each month</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Total market capitalisation</w:t>
            </w: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r w:rsidRPr="003E3697">
              <w:rPr>
                <w:rFonts w:cs="Arial"/>
                <w:sz w:val="20"/>
                <w:lang w:eastAsia="fi-FI"/>
              </w:rPr>
              <w:t>closing price for the period x number of shares available for public trading</w:t>
            </w:r>
          </w:p>
        </w:tc>
      </w:tr>
      <w:tr w:rsidR="00A466B8" w:rsidRPr="003E3697" w:rsidTr="00F923C3">
        <w:trPr>
          <w:trHeight w:val="225"/>
        </w:trPr>
        <w:tc>
          <w:tcPr>
            <w:tcW w:w="4520" w:type="dxa"/>
            <w:tcBorders>
              <w:top w:val="nil"/>
              <w:left w:val="nil"/>
              <w:bottom w:val="nil"/>
              <w:right w:val="nil"/>
            </w:tcBorders>
            <w:noWrap/>
            <w:vAlign w:val="bottom"/>
          </w:tcPr>
          <w:p w:rsidR="00A466B8" w:rsidRPr="003E3697" w:rsidRDefault="00A466B8" w:rsidP="00F923C3">
            <w:pPr>
              <w:rPr>
                <w:rFonts w:cs="Arial"/>
                <w:sz w:val="20"/>
                <w:lang w:eastAsia="fi-FI"/>
              </w:rPr>
            </w:pPr>
          </w:p>
        </w:tc>
        <w:tc>
          <w:tcPr>
            <w:tcW w:w="5980" w:type="dxa"/>
            <w:tcBorders>
              <w:top w:val="nil"/>
              <w:left w:val="nil"/>
              <w:bottom w:val="nil"/>
              <w:right w:val="nil"/>
            </w:tcBorders>
            <w:noWrap/>
            <w:vAlign w:val="bottom"/>
          </w:tcPr>
          <w:p w:rsidR="00A466B8" w:rsidRPr="003E3697" w:rsidRDefault="00A466B8" w:rsidP="00F923C3">
            <w:pPr>
              <w:rPr>
                <w:rFonts w:cs="Arial"/>
                <w:sz w:val="20"/>
                <w:lang w:eastAsia="fi-FI"/>
              </w:rPr>
            </w:pPr>
          </w:p>
        </w:tc>
      </w:tr>
    </w:tbl>
    <w:p w:rsidR="00A466B8" w:rsidRPr="008951BF" w:rsidRDefault="00A466B8" w:rsidP="00A466B8">
      <w:pPr>
        <w:rPr>
          <w:rFonts w:cs="Arial"/>
        </w:rPr>
      </w:pPr>
    </w:p>
    <w:p w:rsidR="00A466B8" w:rsidRPr="008951BF" w:rsidRDefault="00A466B8" w:rsidP="00A466B8">
      <w:pPr>
        <w:rPr>
          <w:rFonts w:cs="Arial"/>
        </w:rPr>
      </w:pPr>
    </w:p>
    <w:p w:rsidR="00A466B8" w:rsidRPr="008951BF" w:rsidRDefault="00A466B8">
      <w:pPr>
        <w:rPr>
          <w:rFonts w:cs="Arial"/>
        </w:rPr>
      </w:pPr>
    </w:p>
    <w:sectPr w:rsidR="00A466B8" w:rsidRPr="008951BF" w:rsidSect="00B54FC3">
      <w:headerReference w:type="default" r:id="rId9"/>
      <w:pgSz w:w="11906" w:h="16838" w:code="9"/>
      <w:pgMar w:top="851" w:right="1134"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CD" w:rsidRDefault="00EA10CD">
      <w:pPr>
        <w:rPr>
          <w:lang w:val="fi-FI"/>
        </w:rPr>
      </w:pPr>
      <w:r>
        <w:rPr>
          <w:lang w:val="fi-FI"/>
        </w:rPr>
        <w:separator/>
      </w:r>
    </w:p>
  </w:endnote>
  <w:endnote w:type="continuationSeparator" w:id="0">
    <w:p w:rsidR="00EA10CD" w:rsidRDefault="00EA10CD">
      <w:pPr>
        <w:rPr>
          <w:lang w:val="fi-FI"/>
        </w:rPr>
      </w:pPr>
      <w:r>
        <w:rPr>
          <w:lang w:val="fi-F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CD" w:rsidRDefault="00EA10CD">
      <w:pPr>
        <w:rPr>
          <w:lang w:val="fi-FI"/>
        </w:rPr>
      </w:pPr>
      <w:r>
        <w:rPr>
          <w:lang w:val="fi-FI"/>
        </w:rPr>
        <w:separator/>
      </w:r>
    </w:p>
  </w:footnote>
  <w:footnote w:type="continuationSeparator" w:id="0">
    <w:p w:rsidR="00EA10CD" w:rsidRDefault="00EA10CD">
      <w:pPr>
        <w:rPr>
          <w:lang w:val="fi-FI"/>
        </w:rPr>
      </w:pPr>
      <w:r>
        <w:rPr>
          <w:lang w:val="fi-F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CD" w:rsidRDefault="00EA10CD">
    <w:pPr>
      <w:pStyle w:val="Header"/>
      <w:jc w:val="right"/>
    </w:pPr>
  </w:p>
  <w:p w:rsidR="00EA10CD" w:rsidRDefault="00EA1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D4"/>
    <w:multiLevelType w:val="hybridMultilevel"/>
    <w:tmpl w:val="CBD2E090"/>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
    <w:nsid w:val="0A947077"/>
    <w:multiLevelType w:val="hybridMultilevel"/>
    <w:tmpl w:val="FC3410A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EA736D"/>
    <w:multiLevelType w:val="hybridMultilevel"/>
    <w:tmpl w:val="EDB260AC"/>
    <w:lvl w:ilvl="0" w:tplc="040B0001">
      <w:start w:val="1"/>
      <w:numFmt w:val="bullet"/>
      <w:lvlText w:val=""/>
      <w:lvlJc w:val="left"/>
      <w:pPr>
        <w:ind w:left="1440" w:hanging="360"/>
      </w:pPr>
      <w:rPr>
        <w:rFonts w:ascii="Symbol" w:hAnsi="Symbol" w:hint="default"/>
      </w:rPr>
    </w:lvl>
    <w:lvl w:ilvl="1" w:tplc="10282ACC">
      <w:numFmt w:val="bullet"/>
      <w:lvlText w:val="•"/>
      <w:lvlJc w:val="left"/>
      <w:pPr>
        <w:ind w:left="2535" w:hanging="735"/>
      </w:pPr>
      <w:rPr>
        <w:rFonts w:ascii="Arial" w:eastAsia="Times New Roman" w:hAnsi="Arial" w:cs="Arial"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0D50639B"/>
    <w:multiLevelType w:val="hybridMultilevel"/>
    <w:tmpl w:val="B8D2CA20"/>
    <w:lvl w:ilvl="0" w:tplc="41BAED36">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14C63452"/>
    <w:multiLevelType w:val="hybridMultilevel"/>
    <w:tmpl w:val="CF8A9E7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18356BE4"/>
    <w:multiLevelType w:val="hybridMultilevel"/>
    <w:tmpl w:val="9500C604"/>
    <w:lvl w:ilvl="0" w:tplc="B2445576">
      <w:start w:val="2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5010F"/>
    <w:multiLevelType w:val="hybridMultilevel"/>
    <w:tmpl w:val="3468FA54"/>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7">
    <w:nsid w:val="3ECF5698"/>
    <w:multiLevelType w:val="hybridMultilevel"/>
    <w:tmpl w:val="981604EC"/>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8">
    <w:nsid w:val="3F183A96"/>
    <w:multiLevelType w:val="hybridMultilevel"/>
    <w:tmpl w:val="75B62228"/>
    <w:lvl w:ilvl="0" w:tplc="D4B005D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7E08E7"/>
    <w:multiLevelType w:val="hybridMultilevel"/>
    <w:tmpl w:val="5B22C558"/>
    <w:lvl w:ilvl="0" w:tplc="3EA82CF4">
      <w:start w:val="1"/>
      <w:numFmt w:val="bullet"/>
      <w:lvlText w:val=""/>
      <w:lvlJc w:val="left"/>
      <w:pPr>
        <w:tabs>
          <w:tab w:val="num" w:pos="340"/>
        </w:tabs>
        <w:ind w:left="340" w:hanging="170"/>
      </w:pPr>
      <w:rPr>
        <w:rFonts w:ascii="Symbol" w:hAnsi="Symbol" w:hint="default"/>
      </w:rPr>
    </w:lvl>
    <w:lvl w:ilvl="1" w:tplc="040B0003" w:tentative="1">
      <w:start w:val="1"/>
      <w:numFmt w:val="bullet"/>
      <w:lvlText w:val="o"/>
      <w:lvlJc w:val="left"/>
      <w:pPr>
        <w:tabs>
          <w:tab w:val="num" w:pos="1610"/>
        </w:tabs>
        <w:ind w:left="1610" w:hanging="360"/>
      </w:pPr>
      <w:rPr>
        <w:rFonts w:ascii="Courier New" w:hAnsi="Courier New" w:hint="default"/>
      </w:rPr>
    </w:lvl>
    <w:lvl w:ilvl="2" w:tplc="040B0005" w:tentative="1">
      <w:start w:val="1"/>
      <w:numFmt w:val="bullet"/>
      <w:lvlText w:val=""/>
      <w:lvlJc w:val="left"/>
      <w:pPr>
        <w:tabs>
          <w:tab w:val="num" w:pos="2330"/>
        </w:tabs>
        <w:ind w:left="2330" w:hanging="360"/>
      </w:pPr>
      <w:rPr>
        <w:rFonts w:ascii="Wingdings" w:hAnsi="Wingdings" w:hint="default"/>
      </w:rPr>
    </w:lvl>
    <w:lvl w:ilvl="3" w:tplc="040B0001" w:tentative="1">
      <w:start w:val="1"/>
      <w:numFmt w:val="bullet"/>
      <w:lvlText w:val=""/>
      <w:lvlJc w:val="left"/>
      <w:pPr>
        <w:tabs>
          <w:tab w:val="num" w:pos="3050"/>
        </w:tabs>
        <w:ind w:left="3050" w:hanging="360"/>
      </w:pPr>
      <w:rPr>
        <w:rFonts w:ascii="Symbol" w:hAnsi="Symbol" w:hint="default"/>
      </w:rPr>
    </w:lvl>
    <w:lvl w:ilvl="4" w:tplc="040B0003" w:tentative="1">
      <w:start w:val="1"/>
      <w:numFmt w:val="bullet"/>
      <w:lvlText w:val="o"/>
      <w:lvlJc w:val="left"/>
      <w:pPr>
        <w:tabs>
          <w:tab w:val="num" w:pos="3770"/>
        </w:tabs>
        <w:ind w:left="3770" w:hanging="360"/>
      </w:pPr>
      <w:rPr>
        <w:rFonts w:ascii="Courier New" w:hAnsi="Courier New" w:hint="default"/>
      </w:rPr>
    </w:lvl>
    <w:lvl w:ilvl="5" w:tplc="040B0005" w:tentative="1">
      <w:start w:val="1"/>
      <w:numFmt w:val="bullet"/>
      <w:lvlText w:val=""/>
      <w:lvlJc w:val="left"/>
      <w:pPr>
        <w:tabs>
          <w:tab w:val="num" w:pos="4490"/>
        </w:tabs>
        <w:ind w:left="4490" w:hanging="360"/>
      </w:pPr>
      <w:rPr>
        <w:rFonts w:ascii="Wingdings" w:hAnsi="Wingdings" w:hint="default"/>
      </w:rPr>
    </w:lvl>
    <w:lvl w:ilvl="6" w:tplc="040B0001" w:tentative="1">
      <w:start w:val="1"/>
      <w:numFmt w:val="bullet"/>
      <w:lvlText w:val=""/>
      <w:lvlJc w:val="left"/>
      <w:pPr>
        <w:tabs>
          <w:tab w:val="num" w:pos="5210"/>
        </w:tabs>
        <w:ind w:left="5210" w:hanging="360"/>
      </w:pPr>
      <w:rPr>
        <w:rFonts w:ascii="Symbol" w:hAnsi="Symbol" w:hint="default"/>
      </w:rPr>
    </w:lvl>
    <w:lvl w:ilvl="7" w:tplc="040B0003" w:tentative="1">
      <w:start w:val="1"/>
      <w:numFmt w:val="bullet"/>
      <w:lvlText w:val="o"/>
      <w:lvlJc w:val="left"/>
      <w:pPr>
        <w:tabs>
          <w:tab w:val="num" w:pos="5930"/>
        </w:tabs>
        <w:ind w:left="5930" w:hanging="360"/>
      </w:pPr>
      <w:rPr>
        <w:rFonts w:ascii="Courier New" w:hAnsi="Courier New" w:hint="default"/>
      </w:rPr>
    </w:lvl>
    <w:lvl w:ilvl="8" w:tplc="040B0005" w:tentative="1">
      <w:start w:val="1"/>
      <w:numFmt w:val="bullet"/>
      <w:lvlText w:val=""/>
      <w:lvlJc w:val="left"/>
      <w:pPr>
        <w:tabs>
          <w:tab w:val="num" w:pos="6650"/>
        </w:tabs>
        <w:ind w:left="6650" w:hanging="360"/>
      </w:pPr>
      <w:rPr>
        <w:rFonts w:ascii="Wingdings" w:hAnsi="Wingdings" w:hint="default"/>
      </w:rPr>
    </w:lvl>
  </w:abstractNum>
  <w:abstractNum w:abstractNumId="10">
    <w:nsid w:val="3FAA2B57"/>
    <w:multiLevelType w:val="hybridMultilevel"/>
    <w:tmpl w:val="7BAA99FE"/>
    <w:lvl w:ilvl="0" w:tplc="913E5940">
      <w:start w:val="4"/>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126012E"/>
    <w:multiLevelType w:val="hybridMultilevel"/>
    <w:tmpl w:val="C76281CA"/>
    <w:lvl w:ilvl="0" w:tplc="4BF42C60">
      <w:start w:val="18"/>
      <w:numFmt w:val="bullet"/>
      <w:lvlText w:val="-"/>
      <w:lvlJc w:val="left"/>
      <w:pPr>
        <w:tabs>
          <w:tab w:val="num" w:pos="720"/>
        </w:tabs>
        <w:ind w:left="720" w:hanging="360"/>
      </w:pPr>
      <w:rPr>
        <w:rFonts w:ascii="Calibri" w:eastAsia="Times New Roman" w:hAnsi="Calibri"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417439BC"/>
    <w:multiLevelType w:val="hybridMultilevel"/>
    <w:tmpl w:val="67549496"/>
    <w:lvl w:ilvl="0" w:tplc="040B0001">
      <w:start w:val="1"/>
      <w:numFmt w:val="bullet"/>
      <w:lvlText w:val=""/>
      <w:lvlJc w:val="left"/>
      <w:pPr>
        <w:ind w:left="360" w:hanging="360"/>
      </w:pPr>
      <w:rPr>
        <w:rFonts w:ascii="Symbol" w:hAnsi="Symbol" w:hint="default"/>
      </w:rPr>
    </w:lvl>
    <w:lvl w:ilvl="1" w:tplc="040B0001">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nsid w:val="482739CE"/>
    <w:multiLevelType w:val="multilevel"/>
    <w:tmpl w:val="9D4A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963B97"/>
    <w:multiLevelType w:val="hybridMultilevel"/>
    <w:tmpl w:val="902EBE1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nsid w:val="4CD84956"/>
    <w:multiLevelType w:val="hybridMultilevel"/>
    <w:tmpl w:val="517A197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nsid w:val="52944868"/>
    <w:multiLevelType w:val="hybridMultilevel"/>
    <w:tmpl w:val="94E837A4"/>
    <w:lvl w:ilvl="0" w:tplc="43CE99FA">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6553C1E"/>
    <w:multiLevelType w:val="hybridMultilevel"/>
    <w:tmpl w:val="A268DC38"/>
    <w:lvl w:ilvl="0" w:tplc="040B0001">
      <w:start w:val="1"/>
      <w:numFmt w:val="bullet"/>
      <w:lvlText w:val=""/>
      <w:lvlJc w:val="left"/>
      <w:pPr>
        <w:tabs>
          <w:tab w:val="num" w:pos="-270"/>
        </w:tabs>
        <w:ind w:left="-270" w:hanging="360"/>
      </w:pPr>
      <w:rPr>
        <w:rFonts w:ascii="Symbol" w:hAnsi="Symbol" w:hint="default"/>
      </w:rPr>
    </w:lvl>
    <w:lvl w:ilvl="1" w:tplc="040B0003" w:tentative="1">
      <w:start w:val="1"/>
      <w:numFmt w:val="bullet"/>
      <w:lvlText w:val="o"/>
      <w:lvlJc w:val="left"/>
      <w:pPr>
        <w:tabs>
          <w:tab w:val="num" w:pos="450"/>
        </w:tabs>
        <w:ind w:left="450" w:hanging="360"/>
      </w:pPr>
      <w:rPr>
        <w:rFonts w:ascii="Courier New" w:hAnsi="Courier New" w:hint="default"/>
      </w:rPr>
    </w:lvl>
    <w:lvl w:ilvl="2" w:tplc="040B0005" w:tentative="1">
      <w:start w:val="1"/>
      <w:numFmt w:val="bullet"/>
      <w:lvlText w:val=""/>
      <w:lvlJc w:val="left"/>
      <w:pPr>
        <w:tabs>
          <w:tab w:val="num" w:pos="1170"/>
        </w:tabs>
        <w:ind w:left="1170" w:hanging="360"/>
      </w:pPr>
      <w:rPr>
        <w:rFonts w:ascii="Wingdings" w:hAnsi="Wingdings" w:hint="default"/>
      </w:rPr>
    </w:lvl>
    <w:lvl w:ilvl="3" w:tplc="040B0001" w:tentative="1">
      <w:start w:val="1"/>
      <w:numFmt w:val="bullet"/>
      <w:lvlText w:val=""/>
      <w:lvlJc w:val="left"/>
      <w:pPr>
        <w:tabs>
          <w:tab w:val="num" w:pos="1890"/>
        </w:tabs>
        <w:ind w:left="1890" w:hanging="360"/>
      </w:pPr>
      <w:rPr>
        <w:rFonts w:ascii="Symbol" w:hAnsi="Symbol" w:hint="default"/>
      </w:rPr>
    </w:lvl>
    <w:lvl w:ilvl="4" w:tplc="040B0003" w:tentative="1">
      <w:start w:val="1"/>
      <w:numFmt w:val="bullet"/>
      <w:lvlText w:val="o"/>
      <w:lvlJc w:val="left"/>
      <w:pPr>
        <w:tabs>
          <w:tab w:val="num" w:pos="2610"/>
        </w:tabs>
        <w:ind w:left="2610" w:hanging="360"/>
      </w:pPr>
      <w:rPr>
        <w:rFonts w:ascii="Courier New" w:hAnsi="Courier New" w:hint="default"/>
      </w:rPr>
    </w:lvl>
    <w:lvl w:ilvl="5" w:tplc="040B0005" w:tentative="1">
      <w:start w:val="1"/>
      <w:numFmt w:val="bullet"/>
      <w:lvlText w:val=""/>
      <w:lvlJc w:val="left"/>
      <w:pPr>
        <w:tabs>
          <w:tab w:val="num" w:pos="3330"/>
        </w:tabs>
        <w:ind w:left="3330" w:hanging="360"/>
      </w:pPr>
      <w:rPr>
        <w:rFonts w:ascii="Wingdings" w:hAnsi="Wingdings" w:hint="default"/>
      </w:rPr>
    </w:lvl>
    <w:lvl w:ilvl="6" w:tplc="040B0001" w:tentative="1">
      <w:start w:val="1"/>
      <w:numFmt w:val="bullet"/>
      <w:lvlText w:val=""/>
      <w:lvlJc w:val="left"/>
      <w:pPr>
        <w:tabs>
          <w:tab w:val="num" w:pos="4050"/>
        </w:tabs>
        <w:ind w:left="4050" w:hanging="360"/>
      </w:pPr>
      <w:rPr>
        <w:rFonts w:ascii="Symbol" w:hAnsi="Symbol" w:hint="default"/>
      </w:rPr>
    </w:lvl>
    <w:lvl w:ilvl="7" w:tplc="040B0003" w:tentative="1">
      <w:start w:val="1"/>
      <w:numFmt w:val="bullet"/>
      <w:lvlText w:val="o"/>
      <w:lvlJc w:val="left"/>
      <w:pPr>
        <w:tabs>
          <w:tab w:val="num" w:pos="4770"/>
        </w:tabs>
        <w:ind w:left="4770" w:hanging="360"/>
      </w:pPr>
      <w:rPr>
        <w:rFonts w:ascii="Courier New" w:hAnsi="Courier New" w:hint="default"/>
      </w:rPr>
    </w:lvl>
    <w:lvl w:ilvl="8" w:tplc="040B0005" w:tentative="1">
      <w:start w:val="1"/>
      <w:numFmt w:val="bullet"/>
      <w:lvlText w:val=""/>
      <w:lvlJc w:val="left"/>
      <w:pPr>
        <w:tabs>
          <w:tab w:val="num" w:pos="5490"/>
        </w:tabs>
        <w:ind w:left="5490" w:hanging="360"/>
      </w:pPr>
      <w:rPr>
        <w:rFonts w:ascii="Wingdings" w:hAnsi="Wingdings" w:hint="default"/>
      </w:rPr>
    </w:lvl>
  </w:abstractNum>
  <w:abstractNum w:abstractNumId="18">
    <w:nsid w:val="59CA55B2"/>
    <w:multiLevelType w:val="hybridMultilevel"/>
    <w:tmpl w:val="A45C1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E61010"/>
    <w:multiLevelType w:val="hybridMultilevel"/>
    <w:tmpl w:val="84FE6B90"/>
    <w:lvl w:ilvl="0" w:tplc="36E434C2">
      <w:start w:val="1"/>
      <w:numFmt w:val="decimal"/>
      <w:lvlText w:val="%1."/>
      <w:lvlJc w:val="left"/>
      <w:pPr>
        <w:tabs>
          <w:tab w:val="num" w:pos="435"/>
        </w:tabs>
        <w:ind w:left="435" w:hanging="43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84E365E"/>
    <w:multiLevelType w:val="hybridMultilevel"/>
    <w:tmpl w:val="06DA49B4"/>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AC30CB8"/>
    <w:multiLevelType w:val="hybridMultilevel"/>
    <w:tmpl w:val="E022F1A0"/>
    <w:lvl w:ilvl="0" w:tplc="25047B2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B782F84"/>
    <w:multiLevelType w:val="hybridMultilevel"/>
    <w:tmpl w:val="463E22C0"/>
    <w:lvl w:ilvl="0" w:tplc="748E0BC0">
      <w:start w:val="1"/>
      <w:numFmt w:val="bullet"/>
      <w:lvlText w:val="-"/>
      <w:lvlJc w:val="left"/>
      <w:pPr>
        <w:tabs>
          <w:tab w:val="num" w:pos="720"/>
        </w:tabs>
        <w:ind w:left="720" w:hanging="360"/>
      </w:pPr>
      <w:rPr>
        <w:rFonts w:ascii="Calibri" w:eastAsia="Times New Roman" w:hAnsi="Calibri"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nsid w:val="6FBC46B2"/>
    <w:multiLevelType w:val="hybridMultilevel"/>
    <w:tmpl w:val="B8B8DC64"/>
    <w:lvl w:ilvl="0" w:tplc="6B7049BC">
      <w:start w:val="1"/>
      <w:numFmt w:val="bullet"/>
      <w:lvlText w:val="&gt;"/>
      <w:lvlJc w:val="left"/>
      <w:pPr>
        <w:tabs>
          <w:tab w:val="num" w:pos="720"/>
        </w:tabs>
        <w:ind w:left="720" w:hanging="360"/>
      </w:pPr>
      <w:rPr>
        <w:rFonts w:ascii="Calibri" w:hAnsi="Calibri" w:hint="default"/>
      </w:rPr>
    </w:lvl>
    <w:lvl w:ilvl="1" w:tplc="24B215F6">
      <w:start w:val="1"/>
      <w:numFmt w:val="bullet"/>
      <w:lvlText w:val="&gt;"/>
      <w:lvlJc w:val="left"/>
      <w:pPr>
        <w:tabs>
          <w:tab w:val="num" w:pos="1440"/>
        </w:tabs>
        <w:ind w:left="1440" w:hanging="360"/>
      </w:pPr>
      <w:rPr>
        <w:rFonts w:ascii="Calibri" w:hAnsi="Calibri" w:hint="default"/>
      </w:rPr>
    </w:lvl>
    <w:lvl w:ilvl="2" w:tplc="E48C8228" w:tentative="1">
      <w:start w:val="1"/>
      <w:numFmt w:val="bullet"/>
      <w:lvlText w:val="&gt;"/>
      <w:lvlJc w:val="left"/>
      <w:pPr>
        <w:tabs>
          <w:tab w:val="num" w:pos="2160"/>
        </w:tabs>
        <w:ind w:left="2160" w:hanging="360"/>
      </w:pPr>
      <w:rPr>
        <w:rFonts w:ascii="Calibri" w:hAnsi="Calibri" w:hint="default"/>
      </w:rPr>
    </w:lvl>
    <w:lvl w:ilvl="3" w:tplc="A036C7B0" w:tentative="1">
      <w:start w:val="1"/>
      <w:numFmt w:val="bullet"/>
      <w:lvlText w:val="&gt;"/>
      <w:lvlJc w:val="left"/>
      <w:pPr>
        <w:tabs>
          <w:tab w:val="num" w:pos="2880"/>
        </w:tabs>
        <w:ind w:left="2880" w:hanging="360"/>
      </w:pPr>
      <w:rPr>
        <w:rFonts w:ascii="Calibri" w:hAnsi="Calibri" w:hint="default"/>
      </w:rPr>
    </w:lvl>
    <w:lvl w:ilvl="4" w:tplc="615A3F86" w:tentative="1">
      <w:start w:val="1"/>
      <w:numFmt w:val="bullet"/>
      <w:lvlText w:val="&gt;"/>
      <w:lvlJc w:val="left"/>
      <w:pPr>
        <w:tabs>
          <w:tab w:val="num" w:pos="3600"/>
        </w:tabs>
        <w:ind w:left="3600" w:hanging="360"/>
      </w:pPr>
      <w:rPr>
        <w:rFonts w:ascii="Calibri" w:hAnsi="Calibri" w:hint="default"/>
      </w:rPr>
    </w:lvl>
    <w:lvl w:ilvl="5" w:tplc="800A6428" w:tentative="1">
      <w:start w:val="1"/>
      <w:numFmt w:val="bullet"/>
      <w:lvlText w:val="&gt;"/>
      <w:lvlJc w:val="left"/>
      <w:pPr>
        <w:tabs>
          <w:tab w:val="num" w:pos="4320"/>
        </w:tabs>
        <w:ind w:left="4320" w:hanging="360"/>
      </w:pPr>
      <w:rPr>
        <w:rFonts w:ascii="Calibri" w:hAnsi="Calibri" w:hint="default"/>
      </w:rPr>
    </w:lvl>
    <w:lvl w:ilvl="6" w:tplc="ED6AC006" w:tentative="1">
      <w:start w:val="1"/>
      <w:numFmt w:val="bullet"/>
      <w:lvlText w:val="&gt;"/>
      <w:lvlJc w:val="left"/>
      <w:pPr>
        <w:tabs>
          <w:tab w:val="num" w:pos="5040"/>
        </w:tabs>
        <w:ind w:left="5040" w:hanging="360"/>
      </w:pPr>
      <w:rPr>
        <w:rFonts w:ascii="Calibri" w:hAnsi="Calibri" w:hint="default"/>
      </w:rPr>
    </w:lvl>
    <w:lvl w:ilvl="7" w:tplc="54B05C1A" w:tentative="1">
      <w:start w:val="1"/>
      <w:numFmt w:val="bullet"/>
      <w:lvlText w:val="&gt;"/>
      <w:lvlJc w:val="left"/>
      <w:pPr>
        <w:tabs>
          <w:tab w:val="num" w:pos="5760"/>
        </w:tabs>
        <w:ind w:left="5760" w:hanging="360"/>
      </w:pPr>
      <w:rPr>
        <w:rFonts w:ascii="Calibri" w:hAnsi="Calibri" w:hint="default"/>
      </w:rPr>
    </w:lvl>
    <w:lvl w:ilvl="8" w:tplc="DAEC2D16" w:tentative="1">
      <w:start w:val="1"/>
      <w:numFmt w:val="bullet"/>
      <w:lvlText w:val="&gt;"/>
      <w:lvlJc w:val="left"/>
      <w:pPr>
        <w:tabs>
          <w:tab w:val="num" w:pos="6480"/>
        </w:tabs>
        <w:ind w:left="6480" w:hanging="360"/>
      </w:pPr>
      <w:rPr>
        <w:rFonts w:ascii="Calibri" w:hAnsi="Calibri" w:hint="default"/>
      </w:rPr>
    </w:lvl>
  </w:abstractNum>
  <w:abstractNum w:abstractNumId="24">
    <w:nsid w:val="716328BB"/>
    <w:multiLevelType w:val="hybridMultilevel"/>
    <w:tmpl w:val="D3725458"/>
    <w:lvl w:ilvl="0" w:tplc="7DC6A8FE">
      <w:numFmt w:val="bullet"/>
      <w:lvlText w:val="-"/>
      <w:lvlJc w:val="left"/>
      <w:pPr>
        <w:tabs>
          <w:tab w:val="num" w:pos="720"/>
        </w:tabs>
        <w:ind w:left="720" w:hanging="36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nsid w:val="7C8C6BAA"/>
    <w:multiLevelType w:val="singleLevel"/>
    <w:tmpl w:val="5A781494"/>
    <w:lvl w:ilvl="0">
      <w:numFmt w:val="bullet"/>
      <w:lvlText w:val="-"/>
      <w:lvlJc w:val="left"/>
      <w:pPr>
        <w:tabs>
          <w:tab w:val="num" w:pos="360"/>
        </w:tabs>
        <w:ind w:left="360" w:hanging="360"/>
      </w:pPr>
      <w:rPr>
        <w:rFonts w:ascii="Times New Roman" w:hAnsi="Times New Roman" w:hint="default"/>
        <w:sz w:val="20"/>
      </w:rPr>
    </w:lvl>
  </w:abstractNum>
  <w:num w:numId="1">
    <w:abstractNumId w:val="20"/>
  </w:num>
  <w:num w:numId="2">
    <w:abstractNumId w:val="1"/>
  </w:num>
  <w:num w:numId="3">
    <w:abstractNumId w:val="25"/>
  </w:num>
  <w:num w:numId="4">
    <w:abstractNumId w:val="19"/>
  </w:num>
  <w:num w:numId="5">
    <w:abstractNumId w:val="18"/>
  </w:num>
  <w:num w:numId="6">
    <w:abstractNumId w:val="5"/>
  </w:num>
  <w:num w:numId="7">
    <w:abstractNumId w:val="8"/>
  </w:num>
  <w:num w:numId="8">
    <w:abstractNumId w:val="17"/>
  </w:num>
  <w:num w:numId="9">
    <w:abstractNumId w:val="0"/>
  </w:num>
  <w:num w:numId="10">
    <w:abstractNumId w:val="3"/>
  </w:num>
  <w:num w:numId="11">
    <w:abstractNumId w:val="11"/>
  </w:num>
  <w:num w:numId="12">
    <w:abstractNumId w:val="22"/>
  </w:num>
  <w:num w:numId="13">
    <w:abstractNumId w:val="9"/>
  </w:num>
  <w:num w:numId="14">
    <w:abstractNumId w:val="24"/>
  </w:num>
  <w:num w:numId="15">
    <w:abstractNumId w:val="23"/>
  </w:num>
  <w:num w:numId="16">
    <w:abstractNumId w:val="10"/>
  </w:num>
  <w:num w:numId="17">
    <w:abstractNumId w:val="16"/>
  </w:num>
  <w:num w:numId="18">
    <w:abstractNumId w:val="14"/>
  </w:num>
  <w:num w:numId="19">
    <w:abstractNumId w:val="15"/>
  </w:num>
  <w:num w:numId="20">
    <w:abstractNumId w:val="6"/>
  </w:num>
  <w:num w:numId="21">
    <w:abstractNumId w:val="21"/>
  </w:num>
  <w:num w:numId="22">
    <w:abstractNumId w:val="12"/>
  </w:num>
  <w:num w:numId="2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79"/>
    <w:rsid w:val="00010E40"/>
    <w:rsid w:val="000349DC"/>
    <w:rsid w:val="00042C39"/>
    <w:rsid w:val="000573E0"/>
    <w:rsid w:val="00061804"/>
    <w:rsid w:val="000744D0"/>
    <w:rsid w:val="00076D0F"/>
    <w:rsid w:val="00080EFB"/>
    <w:rsid w:val="00081CBE"/>
    <w:rsid w:val="000836D1"/>
    <w:rsid w:val="00085809"/>
    <w:rsid w:val="00085B43"/>
    <w:rsid w:val="00090B62"/>
    <w:rsid w:val="000B5380"/>
    <w:rsid w:val="000C08C2"/>
    <w:rsid w:val="000C0FC4"/>
    <w:rsid w:val="000C26A2"/>
    <w:rsid w:val="000C6F85"/>
    <w:rsid w:val="000D3345"/>
    <w:rsid w:val="000D4DF1"/>
    <w:rsid w:val="000E4579"/>
    <w:rsid w:val="000E653B"/>
    <w:rsid w:val="00104F2F"/>
    <w:rsid w:val="00110A70"/>
    <w:rsid w:val="0011354A"/>
    <w:rsid w:val="00114FE2"/>
    <w:rsid w:val="00115A83"/>
    <w:rsid w:val="0013225C"/>
    <w:rsid w:val="00152CB4"/>
    <w:rsid w:val="00154497"/>
    <w:rsid w:val="00156997"/>
    <w:rsid w:val="001611B7"/>
    <w:rsid w:val="00163737"/>
    <w:rsid w:val="00164410"/>
    <w:rsid w:val="0017395E"/>
    <w:rsid w:val="00176B6B"/>
    <w:rsid w:val="00181660"/>
    <w:rsid w:val="00186D56"/>
    <w:rsid w:val="00187EAE"/>
    <w:rsid w:val="001908F6"/>
    <w:rsid w:val="00195E56"/>
    <w:rsid w:val="001A5A6B"/>
    <w:rsid w:val="001C3A4D"/>
    <w:rsid w:val="001C5D00"/>
    <w:rsid w:val="001C758B"/>
    <w:rsid w:val="001D38D2"/>
    <w:rsid w:val="001F3417"/>
    <w:rsid w:val="00205CE9"/>
    <w:rsid w:val="0020737A"/>
    <w:rsid w:val="0021069B"/>
    <w:rsid w:val="00213946"/>
    <w:rsid w:val="002156C9"/>
    <w:rsid w:val="00230B95"/>
    <w:rsid w:val="00232527"/>
    <w:rsid w:val="00233D00"/>
    <w:rsid w:val="00237177"/>
    <w:rsid w:val="00240790"/>
    <w:rsid w:val="002452AA"/>
    <w:rsid w:val="00254ECB"/>
    <w:rsid w:val="00263206"/>
    <w:rsid w:val="002652F1"/>
    <w:rsid w:val="00271407"/>
    <w:rsid w:val="00272B76"/>
    <w:rsid w:val="002763EE"/>
    <w:rsid w:val="002933F6"/>
    <w:rsid w:val="00296EDD"/>
    <w:rsid w:val="002A233D"/>
    <w:rsid w:val="002A5547"/>
    <w:rsid w:val="002A66A6"/>
    <w:rsid w:val="002B70B2"/>
    <w:rsid w:val="002C0A63"/>
    <w:rsid w:val="002C18C0"/>
    <w:rsid w:val="002C20D2"/>
    <w:rsid w:val="002C2F53"/>
    <w:rsid w:val="002C340F"/>
    <w:rsid w:val="002D05E5"/>
    <w:rsid w:val="002D2403"/>
    <w:rsid w:val="002D296F"/>
    <w:rsid w:val="002D3B30"/>
    <w:rsid w:val="002D3B92"/>
    <w:rsid w:val="002E0F2B"/>
    <w:rsid w:val="002E2EB3"/>
    <w:rsid w:val="002E588F"/>
    <w:rsid w:val="002F0014"/>
    <w:rsid w:val="002F7745"/>
    <w:rsid w:val="00305348"/>
    <w:rsid w:val="00313858"/>
    <w:rsid w:val="00320814"/>
    <w:rsid w:val="0032281A"/>
    <w:rsid w:val="003232B8"/>
    <w:rsid w:val="00333EF4"/>
    <w:rsid w:val="00370C2F"/>
    <w:rsid w:val="00371CD9"/>
    <w:rsid w:val="003775E9"/>
    <w:rsid w:val="00383BA7"/>
    <w:rsid w:val="00391889"/>
    <w:rsid w:val="00396ABD"/>
    <w:rsid w:val="00397189"/>
    <w:rsid w:val="003A6ECF"/>
    <w:rsid w:val="003A772B"/>
    <w:rsid w:val="003B02E9"/>
    <w:rsid w:val="003B12F2"/>
    <w:rsid w:val="003B69AD"/>
    <w:rsid w:val="003D08AE"/>
    <w:rsid w:val="003E3697"/>
    <w:rsid w:val="003E6777"/>
    <w:rsid w:val="003F0DB5"/>
    <w:rsid w:val="00402D76"/>
    <w:rsid w:val="00406846"/>
    <w:rsid w:val="00407310"/>
    <w:rsid w:val="00423D8E"/>
    <w:rsid w:val="004267A1"/>
    <w:rsid w:val="00427BC9"/>
    <w:rsid w:val="00433B06"/>
    <w:rsid w:val="00433D0D"/>
    <w:rsid w:val="00443B9D"/>
    <w:rsid w:val="00470D22"/>
    <w:rsid w:val="00477AFE"/>
    <w:rsid w:val="00477EDF"/>
    <w:rsid w:val="00480E83"/>
    <w:rsid w:val="00484933"/>
    <w:rsid w:val="0048647F"/>
    <w:rsid w:val="0049612C"/>
    <w:rsid w:val="0049710E"/>
    <w:rsid w:val="00497C8D"/>
    <w:rsid w:val="004A319A"/>
    <w:rsid w:val="004A369E"/>
    <w:rsid w:val="004C14B6"/>
    <w:rsid w:val="004C43CE"/>
    <w:rsid w:val="004D011F"/>
    <w:rsid w:val="004D5F3C"/>
    <w:rsid w:val="004E1A28"/>
    <w:rsid w:val="004E7FA1"/>
    <w:rsid w:val="004F7A63"/>
    <w:rsid w:val="00500D69"/>
    <w:rsid w:val="00516A10"/>
    <w:rsid w:val="00524ABA"/>
    <w:rsid w:val="00544645"/>
    <w:rsid w:val="00544829"/>
    <w:rsid w:val="00547579"/>
    <w:rsid w:val="0055337D"/>
    <w:rsid w:val="00561EAE"/>
    <w:rsid w:val="005724A1"/>
    <w:rsid w:val="00572B6E"/>
    <w:rsid w:val="00574CD7"/>
    <w:rsid w:val="00584358"/>
    <w:rsid w:val="00593CFD"/>
    <w:rsid w:val="00596433"/>
    <w:rsid w:val="00597965"/>
    <w:rsid w:val="005A0C2E"/>
    <w:rsid w:val="005A618E"/>
    <w:rsid w:val="005A6CFB"/>
    <w:rsid w:val="005B0D9A"/>
    <w:rsid w:val="005B63E9"/>
    <w:rsid w:val="005C385F"/>
    <w:rsid w:val="005C690A"/>
    <w:rsid w:val="005C7972"/>
    <w:rsid w:val="005E450C"/>
    <w:rsid w:val="005F3E64"/>
    <w:rsid w:val="005F5CF5"/>
    <w:rsid w:val="005F73CA"/>
    <w:rsid w:val="00601205"/>
    <w:rsid w:val="0062370E"/>
    <w:rsid w:val="00624443"/>
    <w:rsid w:val="00625D01"/>
    <w:rsid w:val="00626435"/>
    <w:rsid w:val="006319CC"/>
    <w:rsid w:val="006335A3"/>
    <w:rsid w:val="00635313"/>
    <w:rsid w:val="0064467A"/>
    <w:rsid w:val="00645FE9"/>
    <w:rsid w:val="00650C08"/>
    <w:rsid w:val="0065535F"/>
    <w:rsid w:val="00661593"/>
    <w:rsid w:val="00672365"/>
    <w:rsid w:val="006753F8"/>
    <w:rsid w:val="00690516"/>
    <w:rsid w:val="006A1B2F"/>
    <w:rsid w:val="006A69B1"/>
    <w:rsid w:val="006C160C"/>
    <w:rsid w:val="006D0994"/>
    <w:rsid w:val="006D37C6"/>
    <w:rsid w:val="006E25A3"/>
    <w:rsid w:val="006F5696"/>
    <w:rsid w:val="007004A5"/>
    <w:rsid w:val="00702256"/>
    <w:rsid w:val="00721976"/>
    <w:rsid w:val="00735E1E"/>
    <w:rsid w:val="00745B5F"/>
    <w:rsid w:val="00750A0B"/>
    <w:rsid w:val="00751DCF"/>
    <w:rsid w:val="00754AB7"/>
    <w:rsid w:val="0076023D"/>
    <w:rsid w:val="007642F9"/>
    <w:rsid w:val="007A6BDE"/>
    <w:rsid w:val="007B3EA3"/>
    <w:rsid w:val="007B7512"/>
    <w:rsid w:val="007C04AC"/>
    <w:rsid w:val="007C2B2D"/>
    <w:rsid w:val="007D35B7"/>
    <w:rsid w:val="007D3657"/>
    <w:rsid w:val="007D7DC6"/>
    <w:rsid w:val="007E1220"/>
    <w:rsid w:val="007E2828"/>
    <w:rsid w:val="007F3283"/>
    <w:rsid w:val="00803754"/>
    <w:rsid w:val="00812992"/>
    <w:rsid w:val="008157E3"/>
    <w:rsid w:val="00821BA8"/>
    <w:rsid w:val="00823D72"/>
    <w:rsid w:val="0083048A"/>
    <w:rsid w:val="00830E59"/>
    <w:rsid w:val="00840809"/>
    <w:rsid w:val="008423EA"/>
    <w:rsid w:val="00842F06"/>
    <w:rsid w:val="008537A8"/>
    <w:rsid w:val="00854033"/>
    <w:rsid w:val="00854306"/>
    <w:rsid w:val="0086170E"/>
    <w:rsid w:val="008760D7"/>
    <w:rsid w:val="00881084"/>
    <w:rsid w:val="0088443E"/>
    <w:rsid w:val="00890B87"/>
    <w:rsid w:val="008951BF"/>
    <w:rsid w:val="008A08EB"/>
    <w:rsid w:val="008A0B5A"/>
    <w:rsid w:val="008B1FAB"/>
    <w:rsid w:val="008B3096"/>
    <w:rsid w:val="008C08E8"/>
    <w:rsid w:val="008C4D25"/>
    <w:rsid w:val="008D1819"/>
    <w:rsid w:val="008D28E9"/>
    <w:rsid w:val="008D3569"/>
    <w:rsid w:val="008D6069"/>
    <w:rsid w:val="008E24FE"/>
    <w:rsid w:val="008E7A18"/>
    <w:rsid w:val="008F1171"/>
    <w:rsid w:val="008F70CF"/>
    <w:rsid w:val="0091610D"/>
    <w:rsid w:val="00937906"/>
    <w:rsid w:val="009447CE"/>
    <w:rsid w:val="00944FC4"/>
    <w:rsid w:val="00950A13"/>
    <w:rsid w:val="00960DC8"/>
    <w:rsid w:val="00983DDB"/>
    <w:rsid w:val="009B0D58"/>
    <w:rsid w:val="009B1F2A"/>
    <w:rsid w:val="009C09F5"/>
    <w:rsid w:val="009C3EC0"/>
    <w:rsid w:val="009C6FDE"/>
    <w:rsid w:val="009E29F9"/>
    <w:rsid w:val="009E526C"/>
    <w:rsid w:val="009F38B7"/>
    <w:rsid w:val="00A0054C"/>
    <w:rsid w:val="00A13A23"/>
    <w:rsid w:val="00A20275"/>
    <w:rsid w:val="00A24F6F"/>
    <w:rsid w:val="00A26601"/>
    <w:rsid w:val="00A35309"/>
    <w:rsid w:val="00A40C4F"/>
    <w:rsid w:val="00A466B8"/>
    <w:rsid w:val="00A470FB"/>
    <w:rsid w:val="00A47933"/>
    <w:rsid w:val="00A502EC"/>
    <w:rsid w:val="00A52793"/>
    <w:rsid w:val="00A533A7"/>
    <w:rsid w:val="00A609CF"/>
    <w:rsid w:val="00A70766"/>
    <w:rsid w:val="00A70AD3"/>
    <w:rsid w:val="00A73AA5"/>
    <w:rsid w:val="00A85761"/>
    <w:rsid w:val="00A918AA"/>
    <w:rsid w:val="00A963DC"/>
    <w:rsid w:val="00A97DC1"/>
    <w:rsid w:val="00AA0594"/>
    <w:rsid w:val="00AA57EC"/>
    <w:rsid w:val="00AB1E5A"/>
    <w:rsid w:val="00AB3AD3"/>
    <w:rsid w:val="00AC525C"/>
    <w:rsid w:val="00AD084A"/>
    <w:rsid w:val="00AD244F"/>
    <w:rsid w:val="00AD5581"/>
    <w:rsid w:val="00AD5645"/>
    <w:rsid w:val="00AD6CF6"/>
    <w:rsid w:val="00AE2636"/>
    <w:rsid w:val="00AE3898"/>
    <w:rsid w:val="00AE401D"/>
    <w:rsid w:val="00B026B7"/>
    <w:rsid w:val="00B036E2"/>
    <w:rsid w:val="00B03788"/>
    <w:rsid w:val="00B10945"/>
    <w:rsid w:val="00B170D0"/>
    <w:rsid w:val="00B22919"/>
    <w:rsid w:val="00B25D8F"/>
    <w:rsid w:val="00B312BD"/>
    <w:rsid w:val="00B36AE7"/>
    <w:rsid w:val="00B41303"/>
    <w:rsid w:val="00B46AA2"/>
    <w:rsid w:val="00B54FC3"/>
    <w:rsid w:val="00B62B8D"/>
    <w:rsid w:val="00B63889"/>
    <w:rsid w:val="00B64233"/>
    <w:rsid w:val="00B64FA2"/>
    <w:rsid w:val="00B655EE"/>
    <w:rsid w:val="00B67AD7"/>
    <w:rsid w:val="00B75D0F"/>
    <w:rsid w:val="00B76E48"/>
    <w:rsid w:val="00B7769B"/>
    <w:rsid w:val="00B83DB9"/>
    <w:rsid w:val="00BA1968"/>
    <w:rsid w:val="00BC07F6"/>
    <w:rsid w:val="00BC5E04"/>
    <w:rsid w:val="00BC720D"/>
    <w:rsid w:val="00BD14A6"/>
    <w:rsid w:val="00BE226E"/>
    <w:rsid w:val="00BE3083"/>
    <w:rsid w:val="00BF763D"/>
    <w:rsid w:val="00C11AFA"/>
    <w:rsid w:val="00C1704F"/>
    <w:rsid w:val="00C2096E"/>
    <w:rsid w:val="00C24C0D"/>
    <w:rsid w:val="00C31A67"/>
    <w:rsid w:val="00C31C99"/>
    <w:rsid w:val="00C3212A"/>
    <w:rsid w:val="00C328CC"/>
    <w:rsid w:val="00C50258"/>
    <w:rsid w:val="00C738E6"/>
    <w:rsid w:val="00C76601"/>
    <w:rsid w:val="00C80779"/>
    <w:rsid w:val="00C82262"/>
    <w:rsid w:val="00C8450C"/>
    <w:rsid w:val="00C87632"/>
    <w:rsid w:val="00CA1D67"/>
    <w:rsid w:val="00CC2A92"/>
    <w:rsid w:val="00CC3714"/>
    <w:rsid w:val="00CC4D7D"/>
    <w:rsid w:val="00CD6200"/>
    <w:rsid w:val="00CE3308"/>
    <w:rsid w:val="00CE40E4"/>
    <w:rsid w:val="00CF35C0"/>
    <w:rsid w:val="00CF3D7D"/>
    <w:rsid w:val="00D04DD9"/>
    <w:rsid w:val="00D1166D"/>
    <w:rsid w:val="00D21574"/>
    <w:rsid w:val="00D30037"/>
    <w:rsid w:val="00D339DA"/>
    <w:rsid w:val="00D37388"/>
    <w:rsid w:val="00D37A0B"/>
    <w:rsid w:val="00D41349"/>
    <w:rsid w:val="00D430BD"/>
    <w:rsid w:val="00D46560"/>
    <w:rsid w:val="00D514C2"/>
    <w:rsid w:val="00D5214E"/>
    <w:rsid w:val="00D53D66"/>
    <w:rsid w:val="00D56334"/>
    <w:rsid w:val="00D605E0"/>
    <w:rsid w:val="00D61859"/>
    <w:rsid w:val="00D6436E"/>
    <w:rsid w:val="00D663D2"/>
    <w:rsid w:val="00D715B9"/>
    <w:rsid w:val="00D82340"/>
    <w:rsid w:val="00DA0CBB"/>
    <w:rsid w:val="00DA1413"/>
    <w:rsid w:val="00DA7025"/>
    <w:rsid w:val="00DC019E"/>
    <w:rsid w:val="00DC694B"/>
    <w:rsid w:val="00DD05CC"/>
    <w:rsid w:val="00DD114F"/>
    <w:rsid w:val="00DE0B29"/>
    <w:rsid w:val="00DE5C47"/>
    <w:rsid w:val="00DF0FE9"/>
    <w:rsid w:val="00DF3B17"/>
    <w:rsid w:val="00DF4ECC"/>
    <w:rsid w:val="00DF6138"/>
    <w:rsid w:val="00E070AC"/>
    <w:rsid w:val="00E17D7C"/>
    <w:rsid w:val="00E32268"/>
    <w:rsid w:val="00E41EAF"/>
    <w:rsid w:val="00E6718C"/>
    <w:rsid w:val="00E767C1"/>
    <w:rsid w:val="00EA10CD"/>
    <w:rsid w:val="00EA1B88"/>
    <w:rsid w:val="00EA313D"/>
    <w:rsid w:val="00EA55F4"/>
    <w:rsid w:val="00EB1ADD"/>
    <w:rsid w:val="00EB321B"/>
    <w:rsid w:val="00EC0D09"/>
    <w:rsid w:val="00EC0DD2"/>
    <w:rsid w:val="00EC2F35"/>
    <w:rsid w:val="00EC6561"/>
    <w:rsid w:val="00ED25C7"/>
    <w:rsid w:val="00ED2D48"/>
    <w:rsid w:val="00EF291F"/>
    <w:rsid w:val="00EF325F"/>
    <w:rsid w:val="00F02D2B"/>
    <w:rsid w:val="00F22FE5"/>
    <w:rsid w:val="00F25050"/>
    <w:rsid w:val="00F26DE6"/>
    <w:rsid w:val="00F32AC2"/>
    <w:rsid w:val="00F40F75"/>
    <w:rsid w:val="00F42315"/>
    <w:rsid w:val="00F47C90"/>
    <w:rsid w:val="00F511AB"/>
    <w:rsid w:val="00F52807"/>
    <w:rsid w:val="00F83806"/>
    <w:rsid w:val="00F923C3"/>
    <w:rsid w:val="00F9251B"/>
    <w:rsid w:val="00F92D66"/>
    <w:rsid w:val="00FA25E8"/>
    <w:rsid w:val="00FB02B5"/>
    <w:rsid w:val="00FB6ADB"/>
    <w:rsid w:val="00FC74F5"/>
    <w:rsid w:val="00FC7EE7"/>
    <w:rsid w:val="00FD08C8"/>
    <w:rsid w:val="00FD61A5"/>
    <w:rsid w:val="00FD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C8E"/>
    <w:rPr>
      <w:rFonts w:ascii="Arial" w:hAnsi="Arial"/>
      <w:sz w:val="24"/>
      <w:szCs w:val="24"/>
      <w:lang w:val="en-GB"/>
    </w:rPr>
  </w:style>
  <w:style w:type="paragraph" w:styleId="Heading1">
    <w:name w:val="heading 1"/>
    <w:basedOn w:val="Normal"/>
    <w:next w:val="Normal"/>
    <w:link w:val="Heading1Char"/>
    <w:uiPriority w:val="9"/>
    <w:qFormat/>
    <w:rsid w:val="009D2691"/>
    <w:pPr>
      <w:keepNext/>
      <w:ind w:left="720"/>
      <w:outlineLvl w:val="0"/>
    </w:pPr>
    <w:rPr>
      <w:rFonts w:cs="Arial"/>
      <w:sz w:val="28"/>
      <w:lang w:val="fi-FI"/>
    </w:rPr>
  </w:style>
  <w:style w:type="paragraph" w:styleId="Heading2">
    <w:name w:val="heading 2"/>
    <w:basedOn w:val="Normal"/>
    <w:next w:val="Normal"/>
    <w:link w:val="Heading2Char"/>
    <w:uiPriority w:val="9"/>
    <w:qFormat/>
    <w:rsid w:val="009D2691"/>
    <w:pPr>
      <w:keepNext/>
      <w:outlineLvl w:val="1"/>
    </w:pPr>
    <w:rPr>
      <w:b/>
      <w:bCs/>
      <w:szCs w:val="20"/>
      <w:lang w:val="fi-FI" w:eastAsia="fi-FI"/>
    </w:rPr>
  </w:style>
  <w:style w:type="paragraph" w:styleId="Heading3">
    <w:name w:val="heading 3"/>
    <w:basedOn w:val="Normal"/>
    <w:next w:val="Normal"/>
    <w:link w:val="Heading3Char"/>
    <w:uiPriority w:val="9"/>
    <w:qFormat/>
    <w:rsid w:val="009D2691"/>
    <w:pPr>
      <w:keepNext/>
      <w:ind w:left="720"/>
      <w:outlineLvl w:val="2"/>
    </w:pPr>
    <w:rPr>
      <w:rFonts w:cs="Arial"/>
      <w:b/>
      <w:bCs/>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en-GB" w:eastAsia="en-US"/>
    </w:rPr>
  </w:style>
  <w:style w:type="paragraph" w:styleId="BodyTextIndent">
    <w:name w:val="Body Text Indent"/>
    <w:basedOn w:val="Normal"/>
    <w:link w:val="BodyTextIndentChar"/>
    <w:uiPriority w:val="99"/>
    <w:rsid w:val="009D2691"/>
    <w:pPr>
      <w:ind w:left="360"/>
    </w:pPr>
    <w:rPr>
      <w:rFonts w:ascii="Courier New" w:hAnsi="Courier New" w:cs="Courier New"/>
      <w:sz w:val="20"/>
      <w:lang w:val="fi-FI"/>
    </w:rPr>
  </w:style>
  <w:style w:type="character" w:customStyle="1" w:styleId="BodyTextIndentChar">
    <w:name w:val="Body Text Indent Char"/>
    <w:link w:val="BodyTextIndent"/>
    <w:uiPriority w:val="99"/>
    <w:semiHidden/>
    <w:rPr>
      <w:rFonts w:ascii="Arial" w:hAnsi="Arial"/>
      <w:sz w:val="24"/>
      <w:szCs w:val="24"/>
      <w:lang w:val="en-GB" w:eastAsia="en-US"/>
    </w:rPr>
  </w:style>
  <w:style w:type="paragraph" w:styleId="BodyText">
    <w:name w:val="Body Text"/>
    <w:basedOn w:val="Normal"/>
    <w:link w:val="BodyTextChar"/>
    <w:uiPriority w:val="99"/>
    <w:rsid w:val="009D2691"/>
    <w:rPr>
      <w:rFonts w:ascii="Courier New" w:hAnsi="Courier New"/>
      <w:i/>
      <w:iCs/>
      <w:lang w:val="fi-FI"/>
    </w:rPr>
  </w:style>
  <w:style w:type="character" w:customStyle="1" w:styleId="BodyTextChar">
    <w:name w:val="Body Text Char"/>
    <w:link w:val="BodyText"/>
    <w:uiPriority w:val="99"/>
    <w:semiHidden/>
    <w:rPr>
      <w:rFonts w:ascii="Arial" w:hAnsi="Arial"/>
      <w:sz w:val="24"/>
      <w:szCs w:val="24"/>
      <w:lang w:val="en-GB" w:eastAsia="en-US"/>
    </w:rPr>
  </w:style>
  <w:style w:type="character" w:styleId="Hyperlink">
    <w:name w:val="Hyperlink"/>
    <w:uiPriority w:val="99"/>
    <w:rPr>
      <w:color w:val="0000FF"/>
      <w:u w:val="single"/>
    </w:rPr>
  </w:style>
  <w:style w:type="paragraph" w:styleId="BodyText2">
    <w:name w:val="Body Text 2"/>
    <w:basedOn w:val="Normal"/>
    <w:link w:val="BodyText2Char"/>
    <w:uiPriority w:val="99"/>
    <w:rsid w:val="009D2691"/>
    <w:rPr>
      <w:rFonts w:ascii="Courier New" w:hAnsi="Courier New"/>
      <w:color w:val="0000FF"/>
      <w:lang w:val="fi-FI"/>
    </w:rPr>
  </w:style>
  <w:style w:type="character" w:customStyle="1" w:styleId="BodyText2Char">
    <w:name w:val="Body Text 2 Char"/>
    <w:link w:val="BodyText2"/>
    <w:uiPriority w:val="99"/>
    <w:semiHidden/>
    <w:rPr>
      <w:rFonts w:ascii="Arial" w:hAnsi="Arial"/>
      <w:sz w:val="24"/>
      <w:szCs w:val="24"/>
      <w:lang w:val="en-GB" w:eastAsia="en-US"/>
    </w:rPr>
  </w:style>
  <w:style w:type="character" w:styleId="FollowedHyperlink">
    <w:name w:val="FollowedHyperlink"/>
    <w:uiPriority w:val="99"/>
    <w:rPr>
      <w:color w:val="800080"/>
      <w:u w:val="single"/>
    </w:rPr>
  </w:style>
  <w:style w:type="paragraph" w:styleId="BodyText3">
    <w:name w:val="Body Text 3"/>
    <w:basedOn w:val="Normal"/>
    <w:link w:val="BodyText3Char"/>
    <w:uiPriority w:val="99"/>
    <w:rsid w:val="009D2691"/>
    <w:pPr>
      <w:ind w:right="123"/>
      <w:jc w:val="right"/>
    </w:pPr>
    <w:rPr>
      <w:rFonts w:ascii="Courier New" w:hAnsi="Courier New"/>
      <w:lang w:val="fi-FI"/>
    </w:rPr>
  </w:style>
  <w:style w:type="character" w:customStyle="1" w:styleId="BodyText3Char">
    <w:name w:val="Body Text 3 Char"/>
    <w:link w:val="BodyText3"/>
    <w:uiPriority w:val="99"/>
    <w:semiHidden/>
    <w:rPr>
      <w:rFonts w:ascii="Arial" w:hAnsi="Arial"/>
      <w:sz w:val="16"/>
      <w:szCs w:val="16"/>
      <w:lang w:val="en-GB" w:eastAsia="en-US"/>
    </w:rPr>
  </w:style>
  <w:style w:type="paragraph" w:styleId="HTMLPreformatted">
    <w:name w:val="HTML Preformatted"/>
    <w:basedOn w:val="Normal"/>
    <w:link w:val="HTMLPreformattedChar"/>
    <w:uiPriority w:val="99"/>
    <w:rsid w:val="009D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Pr>
      <w:rFonts w:ascii="Geneva" w:eastAsia="Arial Unicode MS" w:hAnsi="Geneva" w:cs="Arial Unicode MS"/>
      <w:sz w:val="20"/>
      <w:szCs w:val="20"/>
    </w:rPr>
  </w:style>
  <w:style w:type="character" w:customStyle="1" w:styleId="HTMLPreformattedChar">
    <w:name w:val="HTML Preformatted Char"/>
    <w:link w:val="HTMLPreformatted"/>
    <w:uiPriority w:val="99"/>
    <w:semiHidden/>
    <w:rPr>
      <w:rFonts w:ascii="Courier New" w:hAnsi="Courier New" w:cs="Courier New"/>
      <w:lang w:val="en-GB" w:eastAsia="en-US"/>
    </w:rPr>
  </w:style>
  <w:style w:type="paragraph" w:styleId="BodyTextIndent2">
    <w:name w:val="Body Text Indent 2"/>
    <w:basedOn w:val="Normal"/>
    <w:link w:val="BodyTextIndent2Char"/>
    <w:rsid w:val="009D2691"/>
    <w:pPr>
      <w:ind w:left="720"/>
    </w:pPr>
    <w:rPr>
      <w:rFonts w:cs="Arial"/>
      <w:lang w:val="fi-FI"/>
    </w:rPr>
  </w:style>
  <w:style w:type="character" w:customStyle="1" w:styleId="BodyTextIndent2Char">
    <w:name w:val="Body Text Indent 2 Char"/>
    <w:link w:val="BodyTextIndent2"/>
    <w:uiPriority w:val="99"/>
    <w:semiHidden/>
    <w:rPr>
      <w:rFonts w:ascii="Arial" w:hAnsi="Arial"/>
      <w:sz w:val="24"/>
      <w:szCs w:val="24"/>
      <w:lang w:val="en-GB" w:eastAsia="en-US"/>
    </w:rPr>
  </w:style>
  <w:style w:type="paragraph" w:styleId="Header">
    <w:name w:val="header"/>
    <w:basedOn w:val="Normal"/>
    <w:link w:val="HeaderChar"/>
    <w:uiPriority w:val="99"/>
    <w:rsid w:val="009D2691"/>
    <w:pPr>
      <w:tabs>
        <w:tab w:val="center" w:pos="4819"/>
        <w:tab w:val="right" w:pos="9638"/>
      </w:tabs>
    </w:pPr>
  </w:style>
  <w:style w:type="character" w:customStyle="1" w:styleId="HeaderChar">
    <w:name w:val="Header Char"/>
    <w:link w:val="Header"/>
    <w:uiPriority w:val="99"/>
    <w:rPr>
      <w:rFonts w:ascii="Arial" w:hAnsi="Arial"/>
      <w:sz w:val="24"/>
      <w:szCs w:val="24"/>
      <w:lang w:val="en-GB" w:eastAsia="en-US"/>
    </w:rPr>
  </w:style>
  <w:style w:type="paragraph" w:styleId="Footer">
    <w:name w:val="footer"/>
    <w:basedOn w:val="Normal"/>
    <w:link w:val="FooterChar"/>
    <w:uiPriority w:val="99"/>
    <w:rsid w:val="009D2691"/>
    <w:pPr>
      <w:tabs>
        <w:tab w:val="center" w:pos="4819"/>
        <w:tab w:val="right" w:pos="9638"/>
      </w:tabs>
    </w:pPr>
  </w:style>
  <w:style w:type="character" w:customStyle="1" w:styleId="FooterChar">
    <w:name w:val="Footer Char"/>
    <w:link w:val="Footer"/>
    <w:uiPriority w:val="99"/>
    <w:semiHidden/>
    <w:rPr>
      <w:rFonts w:ascii="Arial" w:hAnsi="Arial"/>
      <w:sz w:val="24"/>
      <w:szCs w:val="24"/>
      <w:lang w:val="en-GB" w:eastAsia="en-US"/>
    </w:rPr>
  </w:style>
  <w:style w:type="character" w:styleId="PageNumber">
    <w:name w:val="page number"/>
    <w:uiPriority w:val="99"/>
    <w:rPr>
      <w:rFonts w:cs="Times New Roman"/>
    </w:rPr>
  </w:style>
  <w:style w:type="paragraph" w:styleId="BodyTextIndent3">
    <w:name w:val="Body Text Indent 3"/>
    <w:basedOn w:val="Normal"/>
    <w:link w:val="BodyTextIndent3Char"/>
    <w:uiPriority w:val="99"/>
    <w:rsid w:val="009D2691"/>
    <w:pPr>
      <w:ind w:left="720"/>
    </w:pPr>
    <w:rPr>
      <w:rFonts w:cs="Arial"/>
      <w:sz w:val="20"/>
      <w:lang w:val="fi-FI"/>
    </w:rPr>
  </w:style>
  <w:style w:type="character" w:customStyle="1" w:styleId="BodyTextIndent3Char">
    <w:name w:val="Body Text Indent 3 Char"/>
    <w:link w:val="BodyTextIndent3"/>
    <w:uiPriority w:val="99"/>
    <w:semiHidden/>
    <w:rPr>
      <w:rFonts w:ascii="Arial" w:hAnsi="Arial"/>
      <w:sz w:val="16"/>
      <w:szCs w:val="16"/>
      <w:lang w:val="en-GB" w:eastAsia="en-US"/>
    </w:rPr>
  </w:style>
  <w:style w:type="paragraph" w:customStyle="1" w:styleId="Default">
    <w:name w:val="Default"/>
    <w:rsid w:val="009D2691"/>
    <w:pPr>
      <w:autoSpaceDE w:val="0"/>
      <w:autoSpaceDN w:val="0"/>
      <w:adjustRightInd w:val="0"/>
    </w:pPr>
    <w:rPr>
      <w:rFonts w:ascii="Arial" w:hAnsi="Arial" w:cs="Arial"/>
      <w:lang w:val="fi-FI" w:eastAsia="fi-FI"/>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2C2A"/>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color w:val="008000"/>
    </w:rPr>
  </w:style>
  <w:style w:type="character" w:customStyle="1" w:styleId="tw4winJump">
    <w:name w:val="tw4winJump"/>
    <w:rPr>
      <w:rFonts w:ascii="Courier New" w:hAnsi="Courier New"/>
      <w:color w:val="008080"/>
    </w:rPr>
  </w:style>
  <w:style w:type="character" w:customStyle="1" w:styleId="tw4winExternal">
    <w:name w:val="tw4winExternal"/>
    <w:rPr>
      <w:rFonts w:ascii="Courier New" w:hAnsi="Courier New"/>
      <w:color w:val="808080"/>
    </w:rPr>
  </w:style>
  <w:style w:type="character" w:customStyle="1" w:styleId="tw4winInternal">
    <w:name w:val="tw4winInternal"/>
    <w:rPr>
      <w:rFonts w:ascii="Courier New" w:hAnsi="Courier New"/>
      <w:color w:val="FF0000"/>
    </w:rPr>
  </w:style>
  <w:style w:type="character" w:customStyle="1" w:styleId="DONOTTRANSLATE">
    <w:name w:val="DO_NOT_TRANSLATE"/>
    <w:rPr>
      <w:rFonts w:ascii="Courier New" w:hAnsi="Courier New"/>
      <w:color w:val="800000"/>
    </w:rPr>
  </w:style>
  <w:style w:type="paragraph" w:customStyle="1" w:styleId="ILeipteksti">
    <w:name w:val="I_Leipäteksti"/>
    <w:basedOn w:val="Normal"/>
    <w:rsid w:val="002F5C26"/>
    <w:pPr>
      <w:ind w:left="1985"/>
    </w:pPr>
    <w:rPr>
      <w:sz w:val="20"/>
      <w:szCs w:val="22"/>
      <w:lang w:val="fi-FI" w:eastAsia="fi-FI"/>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A51B1F"/>
    <w:rPr>
      <w:sz w:val="20"/>
      <w:szCs w:val="20"/>
    </w:rPr>
  </w:style>
  <w:style w:type="character" w:customStyle="1" w:styleId="CommentTextChar">
    <w:name w:val="Comment Text Char"/>
    <w:link w:val="CommentText"/>
    <w:uiPriority w:val="99"/>
    <w:semiHidden/>
    <w:rPr>
      <w:rFonts w:ascii="Arial" w:hAnsi="Arial"/>
      <w:lang w:val="en-GB" w:eastAsia="en-US"/>
    </w:rPr>
  </w:style>
  <w:style w:type="paragraph" w:styleId="CommentSubject">
    <w:name w:val="annotation subject"/>
    <w:basedOn w:val="CommentText"/>
    <w:next w:val="CommentText"/>
    <w:link w:val="CommentSubjectChar"/>
    <w:uiPriority w:val="99"/>
    <w:semiHidden/>
    <w:rsid w:val="00A51B1F"/>
    <w:rPr>
      <w:b/>
      <w:bCs/>
    </w:rPr>
  </w:style>
  <w:style w:type="character" w:customStyle="1" w:styleId="CommentSubjectChar">
    <w:name w:val="Comment Subject Char"/>
    <w:link w:val="CommentSubject"/>
    <w:uiPriority w:val="99"/>
    <w:semiHidden/>
    <w:rPr>
      <w:rFonts w:ascii="Arial" w:hAnsi="Arial"/>
      <w:b/>
      <w:bCs/>
      <w:lang w:val="en-GB" w:eastAsia="en-US"/>
    </w:rPr>
  </w:style>
  <w:style w:type="paragraph" w:styleId="FootnoteText">
    <w:name w:val="footnote text"/>
    <w:basedOn w:val="Normal"/>
    <w:link w:val="FootnoteTextChar"/>
    <w:uiPriority w:val="99"/>
    <w:rsid w:val="00251AC4"/>
    <w:rPr>
      <w:sz w:val="20"/>
      <w:szCs w:val="20"/>
    </w:rPr>
  </w:style>
  <w:style w:type="character" w:customStyle="1" w:styleId="FootnoteTextChar">
    <w:name w:val="Footnote Text Char"/>
    <w:link w:val="FootnoteText"/>
    <w:uiPriority w:val="99"/>
    <w:locked/>
    <w:rPr>
      <w:rFonts w:ascii="Arial" w:hAnsi="Arial"/>
      <w:lang w:eastAsia="en-US"/>
    </w:rPr>
  </w:style>
  <w:style w:type="character" w:styleId="FootnoteReference">
    <w:name w:val="footnote reference"/>
    <w:uiPriority w:val="99"/>
    <w:rPr>
      <w:vertAlign w:val="superscript"/>
    </w:rPr>
  </w:style>
  <w:style w:type="table" w:styleId="TableElegant">
    <w:name w:val="Table Elegant"/>
    <w:basedOn w:val="TableNormal"/>
    <w:rsid w:val="00A005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3138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F4E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mphasis">
    <w:name w:val="Emphasis"/>
    <w:uiPriority w:val="20"/>
    <w:qFormat/>
    <w:rsid w:val="00D21574"/>
    <w:rPr>
      <w:i/>
      <w:iCs/>
    </w:rPr>
  </w:style>
  <w:style w:type="paragraph" w:styleId="ListParagraph">
    <w:name w:val="List Paragraph"/>
    <w:basedOn w:val="Normal"/>
    <w:uiPriority w:val="34"/>
    <w:qFormat/>
    <w:rsid w:val="00BE3083"/>
    <w:pPr>
      <w:ind w:left="720"/>
      <w:contextualSpacing/>
    </w:pPr>
  </w:style>
  <w:style w:type="table" w:styleId="TableList3">
    <w:name w:val="Table List 3"/>
    <w:basedOn w:val="TableNormal"/>
    <w:rsid w:val="003B12F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3B12F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C8E"/>
    <w:rPr>
      <w:rFonts w:ascii="Arial" w:hAnsi="Arial"/>
      <w:sz w:val="24"/>
      <w:szCs w:val="24"/>
      <w:lang w:val="en-GB"/>
    </w:rPr>
  </w:style>
  <w:style w:type="paragraph" w:styleId="Heading1">
    <w:name w:val="heading 1"/>
    <w:basedOn w:val="Normal"/>
    <w:next w:val="Normal"/>
    <w:link w:val="Heading1Char"/>
    <w:uiPriority w:val="9"/>
    <w:qFormat/>
    <w:rsid w:val="009D2691"/>
    <w:pPr>
      <w:keepNext/>
      <w:ind w:left="720"/>
      <w:outlineLvl w:val="0"/>
    </w:pPr>
    <w:rPr>
      <w:rFonts w:cs="Arial"/>
      <w:sz w:val="28"/>
      <w:lang w:val="fi-FI"/>
    </w:rPr>
  </w:style>
  <w:style w:type="paragraph" w:styleId="Heading2">
    <w:name w:val="heading 2"/>
    <w:basedOn w:val="Normal"/>
    <w:next w:val="Normal"/>
    <w:link w:val="Heading2Char"/>
    <w:uiPriority w:val="9"/>
    <w:qFormat/>
    <w:rsid w:val="009D2691"/>
    <w:pPr>
      <w:keepNext/>
      <w:outlineLvl w:val="1"/>
    </w:pPr>
    <w:rPr>
      <w:b/>
      <w:bCs/>
      <w:szCs w:val="20"/>
      <w:lang w:val="fi-FI" w:eastAsia="fi-FI"/>
    </w:rPr>
  </w:style>
  <w:style w:type="paragraph" w:styleId="Heading3">
    <w:name w:val="heading 3"/>
    <w:basedOn w:val="Normal"/>
    <w:next w:val="Normal"/>
    <w:link w:val="Heading3Char"/>
    <w:uiPriority w:val="9"/>
    <w:qFormat/>
    <w:rsid w:val="009D2691"/>
    <w:pPr>
      <w:keepNext/>
      <w:ind w:left="720"/>
      <w:outlineLvl w:val="2"/>
    </w:pPr>
    <w:rPr>
      <w:rFonts w:cs="Arial"/>
      <w:b/>
      <w:bCs/>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en-GB" w:eastAsia="en-US"/>
    </w:rPr>
  </w:style>
  <w:style w:type="paragraph" w:styleId="BodyTextIndent">
    <w:name w:val="Body Text Indent"/>
    <w:basedOn w:val="Normal"/>
    <w:link w:val="BodyTextIndentChar"/>
    <w:uiPriority w:val="99"/>
    <w:rsid w:val="009D2691"/>
    <w:pPr>
      <w:ind w:left="360"/>
    </w:pPr>
    <w:rPr>
      <w:rFonts w:ascii="Courier New" w:hAnsi="Courier New" w:cs="Courier New"/>
      <w:sz w:val="20"/>
      <w:lang w:val="fi-FI"/>
    </w:rPr>
  </w:style>
  <w:style w:type="character" w:customStyle="1" w:styleId="BodyTextIndentChar">
    <w:name w:val="Body Text Indent Char"/>
    <w:link w:val="BodyTextIndent"/>
    <w:uiPriority w:val="99"/>
    <w:semiHidden/>
    <w:rPr>
      <w:rFonts w:ascii="Arial" w:hAnsi="Arial"/>
      <w:sz w:val="24"/>
      <w:szCs w:val="24"/>
      <w:lang w:val="en-GB" w:eastAsia="en-US"/>
    </w:rPr>
  </w:style>
  <w:style w:type="paragraph" w:styleId="BodyText">
    <w:name w:val="Body Text"/>
    <w:basedOn w:val="Normal"/>
    <w:link w:val="BodyTextChar"/>
    <w:uiPriority w:val="99"/>
    <w:rsid w:val="009D2691"/>
    <w:rPr>
      <w:rFonts w:ascii="Courier New" w:hAnsi="Courier New"/>
      <w:i/>
      <w:iCs/>
      <w:lang w:val="fi-FI"/>
    </w:rPr>
  </w:style>
  <w:style w:type="character" w:customStyle="1" w:styleId="BodyTextChar">
    <w:name w:val="Body Text Char"/>
    <w:link w:val="BodyText"/>
    <w:uiPriority w:val="99"/>
    <w:semiHidden/>
    <w:rPr>
      <w:rFonts w:ascii="Arial" w:hAnsi="Arial"/>
      <w:sz w:val="24"/>
      <w:szCs w:val="24"/>
      <w:lang w:val="en-GB" w:eastAsia="en-US"/>
    </w:rPr>
  </w:style>
  <w:style w:type="character" w:styleId="Hyperlink">
    <w:name w:val="Hyperlink"/>
    <w:uiPriority w:val="99"/>
    <w:rPr>
      <w:color w:val="0000FF"/>
      <w:u w:val="single"/>
    </w:rPr>
  </w:style>
  <w:style w:type="paragraph" w:styleId="BodyText2">
    <w:name w:val="Body Text 2"/>
    <w:basedOn w:val="Normal"/>
    <w:link w:val="BodyText2Char"/>
    <w:uiPriority w:val="99"/>
    <w:rsid w:val="009D2691"/>
    <w:rPr>
      <w:rFonts w:ascii="Courier New" w:hAnsi="Courier New"/>
      <w:color w:val="0000FF"/>
      <w:lang w:val="fi-FI"/>
    </w:rPr>
  </w:style>
  <w:style w:type="character" w:customStyle="1" w:styleId="BodyText2Char">
    <w:name w:val="Body Text 2 Char"/>
    <w:link w:val="BodyText2"/>
    <w:uiPriority w:val="99"/>
    <w:semiHidden/>
    <w:rPr>
      <w:rFonts w:ascii="Arial" w:hAnsi="Arial"/>
      <w:sz w:val="24"/>
      <w:szCs w:val="24"/>
      <w:lang w:val="en-GB" w:eastAsia="en-US"/>
    </w:rPr>
  </w:style>
  <w:style w:type="character" w:styleId="FollowedHyperlink">
    <w:name w:val="FollowedHyperlink"/>
    <w:uiPriority w:val="99"/>
    <w:rPr>
      <w:color w:val="800080"/>
      <w:u w:val="single"/>
    </w:rPr>
  </w:style>
  <w:style w:type="paragraph" w:styleId="BodyText3">
    <w:name w:val="Body Text 3"/>
    <w:basedOn w:val="Normal"/>
    <w:link w:val="BodyText3Char"/>
    <w:uiPriority w:val="99"/>
    <w:rsid w:val="009D2691"/>
    <w:pPr>
      <w:ind w:right="123"/>
      <w:jc w:val="right"/>
    </w:pPr>
    <w:rPr>
      <w:rFonts w:ascii="Courier New" w:hAnsi="Courier New"/>
      <w:lang w:val="fi-FI"/>
    </w:rPr>
  </w:style>
  <w:style w:type="character" w:customStyle="1" w:styleId="BodyText3Char">
    <w:name w:val="Body Text 3 Char"/>
    <w:link w:val="BodyText3"/>
    <w:uiPriority w:val="99"/>
    <w:semiHidden/>
    <w:rPr>
      <w:rFonts w:ascii="Arial" w:hAnsi="Arial"/>
      <w:sz w:val="16"/>
      <w:szCs w:val="16"/>
      <w:lang w:val="en-GB" w:eastAsia="en-US"/>
    </w:rPr>
  </w:style>
  <w:style w:type="paragraph" w:styleId="HTMLPreformatted">
    <w:name w:val="HTML Preformatted"/>
    <w:basedOn w:val="Normal"/>
    <w:link w:val="HTMLPreformattedChar"/>
    <w:uiPriority w:val="99"/>
    <w:rsid w:val="009D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Pr>
      <w:rFonts w:ascii="Geneva" w:eastAsia="Arial Unicode MS" w:hAnsi="Geneva" w:cs="Arial Unicode MS"/>
      <w:sz w:val="20"/>
      <w:szCs w:val="20"/>
    </w:rPr>
  </w:style>
  <w:style w:type="character" w:customStyle="1" w:styleId="HTMLPreformattedChar">
    <w:name w:val="HTML Preformatted Char"/>
    <w:link w:val="HTMLPreformatted"/>
    <w:uiPriority w:val="99"/>
    <w:semiHidden/>
    <w:rPr>
      <w:rFonts w:ascii="Courier New" w:hAnsi="Courier New" w:cs="Courier New"/>
      <w:lang w:val="en-GB" w:eastAsia="en-US"/>
    </w:rPr>
  </w:style>
  <w:style w:type="paragraph" w:styleId="BodyTextIndent2">
    <w:name w:val="Body Text Indent 2"/>
    <w:basedOn w:val="Normal"/>
    <w:link w:val="BodyTextIndent2Char"/>
    <w:rsid w:val="009D2691"/>
    <w:pPr>
      <w:ind w:left="720"/>
    </w:pPr>
    <w:rPr>
      <w:rFonts w:cs="Arial"/>
      <w:lang w:val="fi-FI"/>
    </w:rPr>
  </w:style>
  <w:style w:type="character" w:customStyle="1" w:styleId="BodyTextIndent2Char">
    <w:name w:val="Body Text Indent 2 Char"/>
    <w:link w:val="BodyTextIndent2"/>
    <w:uiPriority w:val="99"/>
    <w:semiHidden/>
    <w:rPr>
      <w:rFonts w:ascii="Arial" w:hAnsi="Arial"/>
      <w:sz w:val="24"/>
      <w:szCs w:val="24"/>
      <w:lang w:val="en-GB" w:eastAsia="en-US"/>
    </w:rPr>
  </w:style>
  <w:style w:type="paragraph" w:styleId="Header">
    <w:name w:val="header"/>
    <w:basedOn w:val="Normal"/>
    <w:link w:val="HeaderChar"/>
    <w:uiPriority w:val="99"/>
    <w:rsid w:val="009D2691"/>
    <w:pPr>
      <w:tabs>
        <w:tab w:val="center" w:pos="4819"/>
        <w:tab w:val="right" w:pos="9638"/>
      </w:tabs>
    </w:pPr>
  </w:style>
  <w:style w:type="character" w:customStyle="1" w:styleId="HeaderChar">
    <w:name w:val="Header Char"/>
    <w:link w:val="Header"/>
    <w:uiPriority w:val="99"/>
    <w:rPr>
      <w:rFonts w:ascii="Arial" w:hAnsi="Arial"/>
      <w:sz w:val="24"/>
      <w:szCs w:val="24"/>
      <w:lang w:val="en-GB" w:eastAsia="en-US"/>
    </w:rPr>
  </w:style>
  <w:style w:type="paragraph" w:styleId="Footer">
    <w:name w:val="footer"/>
    <w:basedOn w:val="Normal"/>
    <w:link w:val="FooterChar"/>
    <w:uiPriority w:val="99"/>
    <w:rsid w:val="009D2691"/>
    <w:pPr>
      <w:tabs>
        <w:tab w:val="center" w:pos="4819"/>
        <w:tab w:val="right" w:pos="9638"/>
      </w:tabs>
    </w:pPr>
  </w:style>
  <w:style w:type="character" w:customStyle="1" w:styleId="FooterChar">
    <w:name w:val="Footer Char"/>
    <w:link w:val="Footer"/>
    <w:uiPriority w:val="99"/>
    <w:semiHidden/>
    <w:rPr>
      <w:rFonts w:ascii="Arial" w:hAnsi="Arial"/>
      <w:sz w:val="24"/>
      <w:szCs w:val="24"/>
      <w:lang w:val="en-GB" w:eastAsia="en-US"/>
    </w:rPr>
  </w:style>
  <w:style w:type="character" w:styleId="PageNumber">
    <w:name w:val="page number"/>
    <w:uiPriority w:val="99"/>
    <w:rPr>
      <w:rFonts w:cs="Times New Roman"/>
    </w:rPr>
  </w:style>
  <w:style w:type="paragraph" w:styleId="BodyTextIndent3">
    <w:name w:val="Body Text Indent 3"/>
    <w:basedOn w:val="Normal"/>
    <w:link w:val="BodyTextIndent3Char"/>
    <w:uiPriority w:val="99"/>
    <w:rsid w:val="009D2691"/>
    <w:pPr>
      <w:ind w:left="720"/>
    </w:pPr>
    <w:rPr>
      <w:rFonts w:cs="Arial"/>
      <w:sz w:val="20"/>
      <w:lang w:val="fi-FI"/>
    </w:rPr>
  </w:style>
  <w:style w:type="character" w:customStyle="1" w:styleId="BodyTextIndent3Char">
    <w:name w:val="Body Text Indent 3 Char"/>
    <w:link w:val="BodyTextIndent3"/>
    <w:uiPriority w:val="99"/>
    <w:semiHidden/>
    <w:rPr>
      <w:rFonts w:ascii="Arial" w:hAnsi="Arial"/>
      <w:sz w:val="16"/>
      <w:szCs w:val="16"/>
      <w:lang w:val="en-GB" w:eastAsia="en-US"/>
    </w:rPr>
  </w:style>
  <w:style w:type="paragraph" w:customStyle="1" w:styleId="Default">
    <w:name w:val="Default"/>
    <w:rsid w:val="009D2691"/>
    <w:pPr>
      <w:autoSpaceDE w:val="0"/>
      <w:autoSpaceDN w:val="0"/>
      <w:adjustRightInd w:val="0"/>
    </w:pPr>
    <w:rPr>
      <w:rFonts w:ascii="Arial" w:hAnsi="Arial" w:cs="Arial"/>
      <w:lang w:val="fi-FI" w:eastAsia="fi-FI"/>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2C2A"/>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color w:val="008000"/>
    </w:rPr>
  </w:style>
  <w:style w:type="character" w:customStyle="1" w:styleId="tw4winJump">
    <w:name w:val="tw4winJump"/>
    <w:rPr>
      <w:rFonts w:ascii="Courier New" w:hAnsi="Courier New"/>
      <w:color w:val="008080"/>
    </w:rPr>
  </w:style>
  <w:style w:type="character" w:customStyle="1" w:styleId="tw4winExternal">
    <w:name w:val="tw4winExternal"/>
    <w:rPr>
      <w:rFonts w:ascii="Courier New" w:hAnsi="Courier New"/>
      <w:color w:val="808080"/>
    </w:rPr>
  </w:style>
  <w:style w:type="character" w:customStyle="1" w:styleId="tw4winInternal">
    <w:name w:val="tw4winInternal"/>
    <w:rPr>
      <w:rFonts w:ascii="Courier New" w:hAnsi="Courier New"/>
      <w:color w:val="FF0000"/>
    </w:rPr>
  </w:style>
  <w:style w:type="character" w:customStyle="1" w:styleId="DONOTTRANSLATE">
    <w:name w:val="DO_NOT_TRANSLATE"/>
    <w:rPr>
      <w:rFonts w:ascii="Courier New" w:hAnsi="Courier New"/>
      <w:color w:val="800000"/>
    </w:rPr>
  </w:style>
  <w:style w:type="paragraph" w:customStyle="1" w:styleId="ILeipteksti">
    <w:name w:val="I_Leipäteksti"/>
    <w:basedOn w:val="Normal"/>
    <w:rsid w:val="002F5C26"/>
    <w:pPr>
      <w:ind w:left="1985"/>
    </w:pPr>
    <w:rPr>
      <w:sz w:val="20"/>
      <w:szCs w:val="22"/>
      <w:lang w:val="fi-FI" w:eastAsia="fi-FI"/>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A51B1F"/>
    <w:rPr>
      <w:sz w:val="20"/>
      <w:szCs w:val="20"/>
    </w:rPr>
  </w:style>
  <w:style w:type="character" w:customStyle="1" w:styleId="CommentTextChar">
    <w:name w:val="Comment Text Char"/>
    <w:link w:val="CommentText"/>
    <w:uiPriority w:val="99"/>
    <w:semiHidden/>
    <w:rPr>
      <w:rFonts w:ascii="Arial" w:hAnsi="Arial"/>
      <w:lang w:val="en-GB" w:eastAsia="en-US"/>
    </w:rPr>
  </w:style>
  <w:style w:type="paragraph" w:styleId="CommentSubject">
    <w:name w:val="annotation subject"/>
    <w:basedOn w:val="CommentText"/>
    <w:next w:val="CommentText"/>
    <w:link w:val="CommentSubjectChar"/>
    <w:uiPriority w:val="99"/>
    <w:semiHidden/>
    <w:rsid w:val="00A51B1F"/>
    <w:rPr>
      <w:b/>
      <w:bCs/>
    </w:rPr>
  </w:style>
  <w:style w:type="character" w:customStyle="1" w:styleId="CommentSubjectChar">
    <w:name w:val="Comment Subject Char"/>
    <w:link w:val="CommentSubject"/>
    <w:uiPriority w:val="99"/>
    <w:semiHidden/>
    <w:rPr>
      <w:rFonts w:ascii="Arial" w:hAnsi="Arial"/>
      <w:b/>
      <w:bCs/>
      <w:lang w:val="en-GB" w:eastAsia="en-US"/>
    </w:rPr>
  </w:style>
  <w:style w:type="paragraph" w:styleId="FootnoteText">
    <w:name w:val="footnote text"/>
    <w:basedOn w:val="Normal"/>
    <w:link w:val="FootnoteTextChar"/>
    <w:uiPriority w:val="99"/>
    <w:rsid w:val="00251AC4"/>
    <w:rPr>
      <w:sz w:val="20"/>
      <w:szCs w:val="20"/>
    </w:rPr>
  </w:style>
  <w:style w:type="character" w:customStyle="1" w:styleId="FootnoteTextChar">
    <w:name w:val="Footnote Text Char"/>
    <w:link w:val="FootnoteText"/>
    <w:uiPriority w:val="99"/>
    <w:locked/>
    <w:rPr>
      <w:rFonts w:ascii="Arial" w:hAnsi="Arial"/>
      <w:lang w:eastAsia="en-US"/>
    </w:rPr>
  </w:style>
  <w:style w:type="character" w:styleId="FootnoteReference">
    <w:name w:val="footnote reference"/>
    <w:uiPriority w:val="99"/>
    <w:rPr>
      <w:vertAlign w:val="superscript"/>
    </w:rPr>
  </w:style>
  <w:style w:type="table" w:styleId="TableElegant">
    <w:name w:val="Table Elegant"/>
    <w:basedOn w:val="TableNormal"/>
    <w:rsid w:val="00A005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3138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F4E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mphasis">
    <w:name w:val="Emphasis"/>
    <w:uiPriority w:val="20"/>
    <w:qFormat/>
    <w:rsid w:val="00D21574"/>
    <w:rPr>
      <w:i/>
      <w:iCs/>
    </w:rPr>
  </w:style>
  <w:style w:type="paragraph" w:styleId="ListParagraph">
    <w:name w:val="List Paragraph"/>
    <w:basedOn w:val="Normal"/>
    <w:uiPriority w:val="34"/>
    <w:qFormat/>
    <w:rsid w:val="00BE3083"/>
    <w:pPr>
      <w:ind w:left="720"/>
      <w:contextualSpacing/>
    </w:pPr>
  </w:style>
  <w:style w:type="table" w:styleId="TableList3">
    <w:name w:val="Table List 3"/>
    <w:basedOn w:val="TableNormal"/>
    <w:rsid w:val="003B12F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3B12F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3228">
      <w:bodyDiv w:val="1"/>
      <w:marLeft w:val="0"/>
      <w:marRight w:val="0"/>
      <w:marTop w:val="0"/>
      <w:marBottom w:val="0"/>
      <w:divBdr>
        <w:top w:val="none" w:sz="0" w:space="0" w:color="auto"/>
        <w:left w:val="none" w:sz="0" w:space="0" w:color="auto"/>
        <w:bottom w:val="none" w:sz="0" w:space="0" w:color="auto"/>
        <w:right w:val="none" w:sz="0" w:space="0" w:color="auto"/>
      </w:divBdr>
      <w:divsChild>
        <w:div w:id="1248081387">
          <w:marLeft w:val="0"/>
          <w:marRight w:val="0"/>
          <w:marTop w:val="0"/>
          <w:marBottom w:val="0"/>
          <w:divBdr>
            <w:top w:val="none" w:sz="0" w:space="0" w:color="auto"/>
            <w:left w:val="none" w:sz="0" w:space="0" w:color="auto"/>
            <w:bottom w:val="none" w:sz="0" w:space="0" w:color="auto"/>
            <w:right w:val="none" w:sz="0" w:space="0" w:color="auto"/>
          </w:divBdr>
          <w:divsChild>
            <w:div w:id="257447824">
              <w:marLeft w:val="0"/>
              <w:marRight w:val="0"/>
              <w:marTop w:val="0"/>
              <w:marBottom w:val="0"/>
              <w:divBdr>
                <w:top w:val="none" w:sz="0" w:space="0" w:color="auto"/>
                <w:left w:val="none" w:sz="0" w:space="0" w:color="auto"/>
                <w:bottom w:val="none" w:sz="0" w:space="0" w:color="auto"/>
                <w:right w:val="none" w:sz="0" w:space="0" w:color="auto"/>
              </w:divBdr>
              <w:divsChild>
                <w:div w:id="256603455">
                  <w:marLeft w:val="0"/>
                  <w:marRight w:val="0"/>
                  <w:marTop w:val="203"/>
                  <w:marBottom w:val="0"/>
                  <w:divBdr>
                    <w:top w:val="single" w:sz="4" w:space="0" w:color="CCCCCC"/>
                    <w:left w:val="none" w:sz="0" w:space="0" w:color="auto"/>
                    <w:bottom w:val="none" w:sz="0" w:space="0" w:color="auto"/>
                    <w:right w:val="none" w:sz="0" w:space="0" w:color="auto"/>
                  </w:divBdr>
                  <w:divsChild>
                    <w:div w:id="680281307">
                      <w:marLeft w:val="264"/>
                      <w:marRight w:val="203"/>
                      <w:marTop w:val="101"/>
                      <w:marBottom w:val="203"/>
                      <w:divBdr>
                        <w:top w:val="none" w:sz="0" w:space="0" w:color="auto"/>
                        <w:left w:val="none" w:sz="0" w:space="0" w:color="auto"/>
                        <w:bottom w:val="none" w:sz="0" w:space="0" w:color="auto"/>
                        <w:right w:val="none" w:sz="0" w:space="0" w:color="auto"/>
                      </w:divBdr>
                      <w:divsChild>
                        <w:div w:id="242300713">
                          <w:marLeft w:val="0"/>
                          <w:marRight w:val="0"/>
                          <w:marTop w:val="41"/>
                          <w:marBottom w:val="71"/>
                          <w:divBdr>
                            <w:top w:val="none" w:sz="0" w:space="0" w:color="auto"/>
                            <w:left w:val="none" w:sz="0" w:space="0" w:color="auto"/>
                            <w:bottom w:val="none" w:sz="0" w:space="0" w:color="auto"/>
                            <w:right w:val="none" w:sz="0" w:space="0" w:color="auto"/>
                          </w:divBdr>
                          <w:divsChild>
                            <w:div w:id="1247227167">
                              <w:marLeft w:val="0"/>
                              <w:marRight w:val="0"/>
                              <w:marTop w:val="0"/>
                              <w:marBottom w:val="0"/>
                              <w:divBdr>
                                <w:top w:val="none" w:sz="0" w:space="0" w:color="auto"/>
                                <w:left w:val="none" w:sz="0" w:space="0" w:color="auto"/>
                                <w:bottom w:val="none" w:sz="0" w:space="0" w:color="auto"/>
                                <w:right w:val="none" w:sz="0" w:space="0" w:color="auto"/>
                              </w:divBdr>
                              <w:divsChild>
                                <w:div w:id="549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830335">
      <w:bodyDiv w:val="1"/>
      <w:marLeft w:val="0"/>
      <w:marRight w:val="0"/>
      <w:marTop w:val="0"/>
      <w:marBottom w:val="0"/>
      <w:divBdr>
        <w:top w:val="none" w:sz="0" w:space="0" w:color="auto"/>
        <w:left w:val="none" w:sz="0" w:space="0" w:color="auto"/>
        <w:bottom w:val="none" w:sz="0" w:space="0" w:color="auto"/>
        <w:right w:val="none" w:sz="0" w:space="0" w:color="auto"/>
      </w:divBdr>
      <w:divsChild>
        <w:div w:id="1726296782">
          <w:marLeft w:val="0"/>
          <w:marRight w:val="0"/>
          <w:marTop w:val="0"/>
          <w:marBottom w:val="0"/>
          <w:divBdr>
            <w:top w:val="none" w:sz="0" w:space="0" w:color="auto"/>
            <w:left w:val="none" w:sz="0" w:space="0" w:color="auto"/>
            <w:bottom w:val="none" w:sz="0" w:space="0" w:color="auto"/>
            <w:right w:val="none" w:sz="0" w:space="0" w:color="auto"/>
          </w:divBdr>
          <w:divsChild>
            <w:div w:id="1860654449">
              <w:marLeft w:val="0"/>
              <w:marRight w:val="0"/>
              <w:marTop w:val="0"/>
              <w:marBottom w:val="0"/>
              <w:divBdr>
                <w:top w:val="none" w:sz="0" w:space="0" w:color="auto"/>
                <w:left w:val="none" w:sz="0" w:space="0" w:color="auto"/>
                <w:bottom w:val="none" w:sz="0" w:space="0" w:color="auto"/>
                <w:right w:val="none" w:sz="0" w:space="0" w:color="auto"/>
              </w:divBdr>
              <w:divsChild>
                <w:div w:id="864251751">
                  <w:marLeft w:val="0"/>
                  <w:marRight w:val="0"/>
                  <w:marTop w:val="203"/>
                  <w:marBottom w:val="0"/>
                  <w:divBdr>
                    <w:top w:val="single" w:sz="4" w:space="0" w:color="CCCCCC"/>
                    <w:left w:val="none" w:sz="0" w:space="0" w:color="auto"/>
                    <w:bottom w:val="none" w:sz="0" w:space="0" w:color="auto"/>
                    <w:right w:val="none" w:sz="0" w:space="0" w:color="auto"/>
                  </w:divBdr>
                  <w:divsChild>
                    <w:div w:id="799686905">
                      <w:marLeft w:val="264"/>
                      <w:marRight w:val="203"/>
                      <w:marTop w:val="101"/>
                      <w:marBottom w:val="203"/>
                      <w:divBdr>
                        <w:top w:val="none" w:sz="0" w:space="0" w:color="auto"/>
                        <w:left w:val="none" w:sz="0" w:space="0" w:color="auto"/>
                        <w:bottom w:val="none" w:sz="0" w:space="0" w:color="auto"/>
                        <w:right w:val="none" w:sz="0" w:space="0" w:color="auto"/>
                      </w:divBdr>
                      <w:divsChild>
                        <w:div w:id="213469554">
                          <w:marLeft w:val="0"/>
                          <w:marRight w:val="0"/>
                          <w:marTop w:val="41"/>
                          <w:marBottom w:val="71"/>
                          <w:divBdr>
                            <w:top w:val="none" w:sz="0" w:space="0" w:color="auto"/>
                            <w:left w:val="none" w:sz="0" w:space="0" w:color="auto"/>
                            <w:bottom w:val="none" w:sz="0" w:space="0" w:color="auto"/>
                            <w:right w:val="none" w:sz="0" w:space="0" w:color="auto"/>
                          </w:divBdr>
                          <w:divsChild>
                            <w:div w:id="846869211">
                              <w:marLeft w:val="0"/>
                              <w:marRight w:val="0"/>
                              <w:marTop w:val="0"/>
                              <w:marBottom w:val="0"/>
                              <w:divBdr>
                                <w:top w:val="none" w:sz="0" w:space="0" w:color="auto"/>
                                <w:left w:val="none" w:sz="0" w:space="0" w:color="auto"/>
                                <w:bottom w:val="none" w:sz="0" w:space="0" w:color="auto"/>
                                <w:right w:val="none" w:sz="0" w:space="0" w:color="auto"/>
                              </w:divBdr>
                              <w:divsChild>
                                <w:div w:id="3099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97541">
      <w:bodyDiv w:val="1"/>
      <w:marLeft w:val="0"/>
      <w:marRight w:val="0"/>
      <w:marTop w:val="0"/>
      <w:marBottom w:val="0"/>
      <w:divBdr>
        <w:top w:val="none" w:sz="0" w:space="0" w:color="auto"/>
        <w:left w:val="none" w:sz="0" w:space="0" w:color="auto"/>
        <w:bottom w:val="none" w:sz="0" w:space="0" w:color="auto"/>
        <w:right w:val="none" w:sz="0" w:space="0" w:color="auto"/>
      </w:divBdr>
    </w:div>
    <w:div w:id="1234243471">
      <w:marLeft w:val="0"/>
      <w:marRight w:val="0"/>
      <w:marTop w:val="0"/>
      <w:marBottom w:val="0"/>
      <w:divBdr>
        <w:top w:val="none" w:sz="0" w:space="0" w:color="auto"/>
        <w:left w:val="none" w:sz="0" w:space="0" w:color="auto"/>
        <w:bottom w:val="none" w:sz="0" w:space="0" w:color="auto"/>
        <w:right w:val="none" w:sz="0" w:space="0" w:color="auto"/>
      </w:divBdr>
    </w:div>
    <w:div w:id="1234243473">
      <w:marLeft w:val="0"/>
      <w:marRight w:val="0"/>
      <w:marTop w:val="0"/>
      <w:marBottom w:val="0"/>
      <w:divBdr>
        <w:top w:val="none" w:sz="0" w:space="0" w:color="auto"/>
        <w:left w:val="none" w:sz="0" w:space="0" w:color="auto"/>
        <w:bottom w:val="none" w:sz="0" w:space="0" w:color="auto"/>
        <w:right w:val="none" w:sz="0" w:space="0" w:color="auto"/>
      </w:divBdr>
    </w:div>
    <w:div w:id="1234243475">
      <w:marLeft w:val="0"/>
      <w:marRight w:val="0"/>
      <w:marTop w:val="0"/>
      <w:marBottom w:val="0"/>
      <w:divBdr>
        <w:top w:val="none" w:sz="0" w:space="0" w:color="auto"/>
        <w:left w:val="none" w:sz="0" w:space="0" w:color="auto"/>
        <w:bottom w:val="none" w:sz="0" w:space="0" w:color="auto"/>
        <w:right w:val="none" w:sz="0" w:space="0" w:color="auto"/>
      </w:divBdr>
    </w:div>
    <w:div w:id="1234243476">
      <w:marLeft w:val="0"/>
      <w:marRight w:val="0"/>
      <w:marTop w:val="0"/>
      <w:marBottom w:val="0"/>
      <w:divBdr>
        <w:top w:val="none" w:sz="0" w:space="0" w:color="auto"/>
        <w:left w:val="none" w:sz="0" w:space="0" w:color="auto"/>
        <w:bottom w:val="none" w:sz="0" w:space="0" w:color="auto"/>
        <w:right w:val="none" w:sz="0" w:space="0" w:color="auto"/>
      </w:divBdr>
    </w:div>
    <w:div w:id="1234243478">
      <w:marLeft w:val="0"/>
      <w:marRight w:val="0"/>
      <w:marTop w:val="0"/>
      <w:marBottom w:val="0"/>
      <w:divBdr>
        <w:top w:val="none" w:sz="0" w:space="0" w:color="auto"/>
        <w:left w:val="none" w:sz="0" w:space="0" w:color="auto"/>
        <w:bottom w:val="none" w:sz="0" w:space="0" w:color="auto"/>
        <w:right w:val="none" w:sz="0" w:space="0" w:color="auto"/>
      </w:divBdr>
    </w:div>
    <w:div w:id="1234243484">
      <w:marLeft w:val="0"/>
      <w:marRight w:val="0"/>
      <w:marTop w:val="0"/>
      <w:marBottom w:val="0"/>
      <w:divBdr>
        <w:top w:val="none" w:sz="0" w:space="0" w:color="auto"/>
        <w:left w:val="none" w:sz="0" w:space="0" w:color="auto"/>
        <w:bottom w:val="none" w:sz="0" w:space="0" w:color="auto"/>
        <w:right w:val="none" w:sz="0" w:space="0" w:color="auto"/>
      </w:divBdr>
      <w:divsChild>
        <w:div w:id="1234243568">
          <w:marLeft w:val="0"/>
          <w:marRight w:val="0"/>
          <w:marTop w:val="0"/>
          <w:marBottom w:val="0"/>
          <w:divBdr>
            <w:top w:val="none" w:sz="0" w:space="0" w:color="auto"/>
            <w:left w:val="none" w:sz="0" w:space="0" w:color="auto"/>
            <w:bottom w:val="none" w:sz="0" w:space="0" w:color="auto"/>
            <w:right w:val="none" w:sz="0" w:space="0" w:color="auto"/>
          </w:divBdr>
          <w:divsChild>
            <w:div w:id="1234243500">
              <w:marLeft w:val="0"/>
              <w:marRight w:val="0"/>
              <w:marTop w:val="0"/>
              <w:marBottom w:val="0"/>
              <w:divBdr>
                <w:top w:val="none" w:sz="0" w:space="0" w:color="auto"/>
                <w:left w:val="none" w:sz="0" w:space="0" w:color="auto"/>
                <w:bottom w:val="none" w:sz="0" w:space="0" w:color="auto"/>
                <w:right w:val="none" w:sz="0" w:space="0" w:color="auto"/>
              </w:divBdr>
              <w:divsChild>
                <w:div w:id="1234243618">
                  <w:marLeft w:val="0"/>
                  <w:marRight w:val="0"/>
                  <w:marTop w:val="300"/>
                  <w:marBottom w:val="0"/>
                  <w:divBdr>
                    <w:top w:val="single" w:sz="6" w:space="0" w:color="CCCCCC"/>
                    <w:left w:val="none" w:sz="0" w:space="0" w:color="auto"/>
                    <w:bottom w:val="none" w:sz="0" w:space="0" w:color="auto"/>
                    <w:right w:val="none" w:sz="0" w:space="0" w:color="auto"/>
                  </w:divBdr>
                  <w:divsChild>
                    <w:div w:id="1234243643">
                      <w:marLeft w:val="390"/>
                      <w:marRight w:val="300"/>
                      <w:marTop w:val="150"/>
                      <w:marBottom w:val="300"/>
                      <w:divBdr>
                        <w:top w:val="none" w:sz="0" w:space="0" w:color="auto"/>
                        <w:left w:val="none" w:sz="0" w:space="0" w:color="auto"/>
                        <w:bottom w:val="none" w:sz="0" w:space="0" w:color="auto"/>
                        <w:right w:val="none" w:sz="0" w:space="0" w:color="auto"/>
                      </w:divBdr>
                      <w:divsChild>
                        <w:div w:id="1234243734">
                          <w:marLeft w:val="0"/>
                          <w:marRight w:val="0"/>
                          <w:marTop w:val="60"/>
                          <w:marBottom w:val="105"/>
                          <w:divBdr>
                            <w:top w:val="none" w:sz="0" w:space="0" w:color="auto"/>
                            <w:left w:val="none" w:sz="0" w:space="0" w:color="auto"/>
                            <w:bottom w:val="none" w:sz="0" w:space="0" w:color="auto"/>
                            <w:right w:val="none" w:sz="0" w:space="0" w:color="auto"/>
                          </w:divBdr>
                          <w:divsChild>
                            <w:div w:id="1234243516">
                              <w:marLeft w:val="0"/>
                              <w:marRight w:val="0"/>
                              <w:marTop w:val="0"/>
                              <w:marBottom w:val="0"/>
                              <w:divBdr>
                                <w:top w:val="none" w:sz="0" w:space="0" w:color="auto"/>
                                <w:left w:val="none" w:sz="0" w:space="0" w:color="auto"/>
                                <w:bottom w:val="none" w:sz="0" w:space="0" w:color="auto"/>
                                <w:right w:val="none" w:sz="0" w:space="0" w:color="auto"/>
                              </w:divBdr>
                              <w:divsChild>
                                <w:div w:id="12342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488">
      <w:marLeft w:val="0"/>
      <w:marRight w:val="0"/>
      <w:marTop w:val="0"/>
      <w:marBottom w:val="0"/>
      <w:divBdr>
        <w:top w:val="none" w:sz="0" w:space="0" w:color="auto"/>
        <w:left w:val="none" w:sz="0" w:space="0" w:color="auto"/>
        <w:bottom w:val="none" w:sz="0" w:space="0" w:color="auto"/>
        <w:right w:val="none" w:sz="0" w:space="0" w:color="auto"/>
      </w:divBdr>
    </w:div>
    <w:div w:id="1234243492">
      <w:marLeft w:val="0"/>
      <w:marRight w:val="0"/>
      <w:marTop w:val="0"/>
      <w:marBottom w:val="0"/>
      <w:divBdr>
        <w:top w:val="none" w:sz="0" w:space="0" w:color="auto"/>
        <w:left w:val="none" w:sz="0" w:space="0" w:color="auto"/>
        <w:bottom w:val="none" w:sz="0" w:space="0" w:color="auto"/>
        <w:right w:val="none" w:sz="0" w:space="0" w:color="auto"/>
      </w:divBdr>
    </w:div>
    <w:div w:id="1234243495">
      <w:marLeft w:val="0"/>
      <w:marRight w:val="0"/>
      <w:marTop w:val="0"/>
      <w:marBottom w:val="0"/>
      <w:divBdr>
        <w:top w:val="none" w:sz="0" w:space="0" w:color="auto"/>
        <w:left w:val="none" w:sz="0" w:space="0" w:color="auto"/>
        <w:bottom w:val="none" w:sz="0" w:space="0" w:color="auto"/>
        <w:right w:val="none" w:sz="0" w:space="0" w:color="auto"/>
      </w:divBdr>
    </w:div>
    <w:div w:id="1234243497">
      <w:marLeft w:val="0"/>
      <w:marRight w:val="0"/>
      <w:marTop w:val="0"/>
      <w:marBottom w:val="0"/>
      <w:divBdr>
        <w:top w:val="none" w:sz="0" w:space="0" w:color="auto"/>
        <w:left w:val="none" w:sz="0" w:space="0" w:color="auto"/>
        <w:bottom w:val="none" w:sz="0" w:space="0" w:color="auto"/>
        <w:right w:val="none" w:sz="0" w:space="0" w:color="auto"/>
      </w:divBdr>
      <w:divsChild>
        <w:div w:id="1234243676">
          <w:marLeft w:val="0"/>
          <w:marRight w:val="0"/>
          <w:marTop w:val="0"/>
          <w:marBottom w:val="0"/>
          <w:divBdr>
            <w:top w:val="none" w:sz="0" w:space="0" w:color="auto"/>
            <w:left w:val="none" w:sz="0" w:space="0" w:color="auto"/>
            <w:bottom w:val="none" w:sz="0" w:space="0" w:color="auto"/>
            <w:right w:val="none" w:sz="0" w:space="0" w:color="auto"/>
          </w:divBdr>
          <w:divsChild>
            <w:div w:id="1234243560">
              <w:marLeft w:val="0"/>
              <w:marRight w:val="0"/>
              <w:marTop w:val="0"/>
              <w:marBottom w:val="0"/>
              <w:divBdr>
                <w:top w:val="none" w:sz="0" w:space="0" w:color="auto"/>
                <w:left w:val="none" w:sz="0" w:space="0" w:color="auto"/>
                <w:bottom w:val="none" w:sz="0" w:space="0" w:color="auto"/>
                <w:right w:val="none" w:sz="0" w:space="0" w:color="auto"/>
              </w:divBdr>
              <w:divsChild>
                <w:div w:id="1234243666">
                  <w:marLeft w:val="0"/>
                  <w:marRight w:val="0"/>
                  <w:marTop w:val="300"/>
                  <w:marBottom w:val="0"/>
                  <w:divBdr>
                    <w:top w:val="single" w:sz="6" w:space="0" w:color="CCCCCC"/>
                    <w:left w:val="none" w:sz="0" w:space="0" w:color="auto"/>
                    <w:bottom w:val="none" w:sz="0" w:space="0" w:color="auto"/>
                    <w:right w:val="none" w:sz="0" w:space="0" w:color="auto"/>
                  </w:divBdr>
                  <w:divsChild>
                    <w:div w:id="1234243548">
                      <w:marLeft w:val="390"/>
                      <w:marRight w:val="300"/>
                      <w:marTop w:val="150"/>
                      <w:marBottom w:val="300"/>
                      <w:divBdr>
                        <w:top w:val="none" w:sz="0" w:space="0" w:color="auto"/>
                        <w:left w:val="none" w:sz="0" w:space="0" w:color="auto"/>
                        <w:bottom w:val="none" w:sz="0" w:space="0" w:color="auto"/>
                        <w:right w:val="none" w:sz="0" w:space="0" w:color="auto"/>
                      </w:divBdr>
                      <w:divsChild>
                        <w:div w:id="1234243487">
                          <w:marLeft w:val="0"/>
                          <w:marRight w:val="0"/>
                          <w:marTop w:val="60"/>
                          <w:marBottom w:val="105"/>
                          <w:divBdr>
                            <w:top w:val="none" w:sz="0" w:space="0" w:color="auto"/>
                            <w:left w:val="none" w:sz="0" w:space="0" w:color="auto"/>
                            <w:bottom w:val="none" w:sz="0" w:space="0" w:color="auto"/>
                            <w:right w:val="none" w:sz="0" w:space="0" w:color="auto"/>
                          </w:divBdr>
                          <w:divsChild>
                            <w:div w:id="1234243756">
                              <w:marLeft w:val="0"/>
                              <w:marRight w:val="0"/>
                              <w:marTop w:val="0"/>
                              <w:marBottom w:val="0"/>
                              <w:divBdr>
                                <w:top w:val="none" w:sz="0" w:space="0" w:color="auto"/>
                                <w:left w:val="none" w:sz="0" w:space="0" w:color="auto"/>
                                <w:bottom w:val="none" w:sz="0" w:space="0" w:color="auto"/>
                                <w:right w:val="none" w:sz="0" w:space="0" w:color="auto"/>
                              </w:divBdr>
                              <w:divsChild>
                                <w:div w:id="1234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498">
      <w:marLeft w:val="0"/>
      <w:marRight w:val="0"/>
      <w:marTop w:val="0"/>
      <w:marBottom w:val="0"/>
      <w:divBdr>
        <w:top w:val="none" w:sz="0" w:space="0" w:color="auto"/>
        <w:left w:val="none" w:sz="0" w:space="0" w:color="auto"/>
        <w:bottom w:val="none" w:sz="0" w:space="0" w:color="auto"/>
        <w:right w:val="none" w:sz="0" w:space="0" w:color="auto"/>
      </w:divBdr>
      <w:divsChild>
        <w:div w:id="1234243683">
          <w:marLeft w:val="0"/>
          <w:marRight w:val="0"/>
          <w:marTop w:val="0"/>
          <w:marBottom w:val="0"/>
          <w:divBdr>
            <w:top w:val="none" w:sz="0" w:space="0" w:color="auto"/>
            <w:left w:val="none" w:sz="0" w:space="0" w:color="auto"/>
            <w:bottom w:val="none" w:sz="0" w:space="0" w:color="auto"/>
            <w:right w:val="none" w:sz="0" w:space="0" w:color="auto"/>
          </w:divBdr>
          <w:divsChild>
            <w:div w:id="1234243659">
              <w:marLeft w:val="0"/>
              <w:marRight w:val="0"/>
              <w:marTop w:val="0"/>
              <w:marBottom w:val="0"/>
              <w:divBdr>
                <w:top w:val="none" w:sz="0" w:space="0" w:color="auto"/>
                <w:left w:val="none" w:sz="0" w:space="0" w:color="auto"/>
                <w:bottom w:val="none" w:sz="0" w:space="0" w:color="auto"/>
                <w:right w:val="none" w:sz="0" w:space="0" w:color="auto"/>
              </w:divBdr>
              <w:divsChild>
                <w:div w:id="1234243674">
                  <w:marLeft w:val="0"/>
                  <w:marRight w:val="0"/>
                  <w:marTop w:val="250"/>
                  <w:marBottom w:val="0"/>
                  <w:divBdr>
                    <w:top w:val="single" w:sz="4" w:space="0" w:color="CCCCCC"/>
                    <w:left w:val="none" w:sz="0" w:space="0" w:color="auto"/>
                    <w:bottom w:val="none" w:sz="0" w:space="0" w:color="auto"/>
                    <w:right w:val="none" w:sz="0" w:space="0" w:color="auto"/>
                  </w:divBdr>
                  <w:divsChild>
                    <w:div w:id="1234243596">
                      <w:marLeft w:val="326"/>
                      <w:marRight w:val="250"/>
                      <w:marTop w:val="125"/>
                      <w:marBottom w:val="250"/>
                      <w:divBdr>
                        <w:top w:val="none" w:sz="0" w:space="0" w:color="auto"/>
                        <w:left w:val="none" w:sz="0" w:space="0" w:color="auto"/>
                        <w:bottom w:val="none" w:sz="0" w:space="0" w:color="auto"/>
                        <w:right w:val="none" w:sz="0" w:space="0" w:color="auto"/>
                      </w:divBdr>
                      <w:divsChild>
                        <w:div w:id="1234243654">
                          <w:marLeft w:val="0"/>
                          <w:marRight w:val="0"/>
                          <w:marTop w:val="50"/>
                          <w:marBottom w:val="88"/>
                          <w:divBdr>
                            <w:top w:val="none" w:sz="0" w:space="0" w:color="auto"/>
                            <w:left w:val="none" w:sz="0" w:space="0" w:color="auto"/>
                            <w:bottom w:val="none" w:sz="0" w:space="0" w:color="auto"/>
                            <w:right w:val="none" w:sz="0" w:space="0" w:color="auto"/>
                          </w:divBdr>
                          <w:divsChild>
                            <w:div w:id="1234243735">
                              <w:marLeft w:val="0"/>
                              <w:marRight w:val="0"/>
                              <w:marTop w:val="0"/>
                              <w:marBottom w:val="0"/>
                              <w:divBdr>
                                <w:top w:val="none" w:sz="0" w:space="0" w:color="auto"/>
                                <w:left w:val="none" w:sz="0" w:space="0" w:color="auto"/>
                                <w:bottom w:val="none" w:sz="0" w:space="0" w:color="auto"/>
                                <w:right w:val="none" w:sz="0" w:space="0" w:color="auto"/>
                              </w:divBdr>
                              <w:divsChild>
                                <w:div w:id="12342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499">
      <w:marLeft w:val="0"/>
      <w:marRight w:val="0"/>
      <w:marTop w:val="0"/>
      <w:marBottom w:val="0"/>
      <w:divBdr>
        <w:top w:val="none" w:sz="0" w:space="0" w:color="auto"/>
        <w:left w:val="none" w:sz="0" w:space="0" w:color="auto"/>
        <w:bottom w:val="none" w:sz="0" w:space="0" w:color="auto"/>
        <w:right w:val="none" w:sz="0" w:space="0" w:color="auto"/>
      </w:divBdr>
    </w:div>
    <w:div w:id="1234243501">
      <w:marLeft w:val="0"/>
      <w:marRight w:val="0"/>
      <w:marTop w:val="0"/>
      <w:marBottom w:val="0"/>
      <w:divBdr>
        <w:top w:val="none" w:sz="0" w:space="0" w:color="auto"/>
        <w:left w:val="none" w:sz="0" w:space="0" w:color="auto"/>
        <w:bottom w:val="none" w:sz="0" w:space="0" w:color="auto"/>
        <w:right w:val="none" w:sz="0" w:space="0" w:color="auto"/>
      </w:divBdr>
    </w:div>
    <w:div w:id="1234243503">
      <w:marLeft w:val="0"/>
      <w:marRight w:val="0"/>
      <w:marTop w:val="0"/>
      <w:marBottom w:val="0"/>
      <w:divBdr>
        <w:top w:val="none" w:sz="0" w:space="0" w:color="auto"/>
        <w:left w:val="none" w:sz="0" w:space="0" w:color="auto"/>
        <w:bottom w:val="none" w:sz="0" w:space="0" w:color="auto"/>
        <w:right w:val="none" w:sz="0" w:space="0" w:color="auto"/>
      </w:divBdr>
    </w:div>
    <w:div w:id="1234243504">
      <w:marLeft w:val="0"/>
      <w:marRight w:val="0"/>
      <w:marTop w:val="0"/>
      <w:marBottom w:val="0"/>
      <w:divBdr>
        <w:top w:val="none" w:sz="0" w:space="0" w:color="auto"/>
        <w:left w:val="none" w:sz="0" w:space="0" w:color="auto"/>
        <w:bottom w:val="none" w:sz="0" w:space="0" w:color="auto"/>
        <w:right w:val="none" w:sz="0" w:space="0" w:color="auto"/>
      </w:divBdr>
    </w:div>
    <w:div w:id="1234243505">
      <w:marLeft w:val="150"/>
      <w:marRight w:val="0"/>
      <w:marTop w:val="0"/>
      <w:marBottom w:val="0"/>
      <w:divBdr>
        <w:top w:val="none" w:sz="0" w:space="0" w:color="auto"/>
        <w:left w:val="none" w:sz="0" w:space="0" w:color="auto"/>
        <w:bottom w:val="none" w:sz="0" w:space="0" w:color="auto"/>
        <w:right w:val="none" w:sz="0" w:space="0" w:color="auto"/>
      </w:divBdr>
      <w:divsChild>
        <w:div w:id="1234243805">
          <w:marLeft w:val="0"/>
          <w:marRight w:val="0"/>
          <w:marTop w:val="0"/>
          <w:marBottom w:val="0"/>
          <w:divBdr>
            <w:top w:val="none" w:sz="0" w:space="0" w:color="auto"/>
            <w:left w:val="none" w:sz="0" w:space="0" w:color="auto"/>
            <w:bottom w:val="none" w:sz="0" w:space="0" w:color="auto"/>
            <w:right w:val="none" w:sz="0" w:space="0" w:color="auto"/>
          </w:divBdr>
          <w:divsChild>
            <w:div w:id="1234243626">
              <w:marLeft w:val="0"/>
              <w:marRight w:val="0"/>
              <w:marTop w:val="225"/>
              <w:marBottom w:val="0"/>
              <w:divBdr>
                <w:top w:val="none" w:sz="0" w:space="0" w:color="auto"/>
                <w:left w:val="none" w:sz="0" w:space="0" w:color="auto"/>
                <w:bottom w:val="none" w:sz="0" w:space="0" w:color="auto"/>
                <w:right w:val="none" w:sz="0" w:space="0" w:color="auto"/>
              </w:divBdr>
              <w:divsChild>
                <w:div w:id="1234243733">
                  <w:marLeft w:val="0"/>
                  <w:marRight w:val="0"/>
                  <w:marTop w:val="0"/>
                  <w:marBottom w:val="0"/>
                  <w:divBdr>
                    <w:top w:val="single" w:sz="6" w:space="0" w:color="888888"/>
                    <w:left w:val="single" w:sz="6" w:space="0" w:color="888888"/>
                    <w:bottom w:val="single" w:sz="6" w:space="0" w:color="888888"/>
                    <w:right w:val="single" w:sz="6" w:space="0" w:color="888888"/>
                  </w:divBdr>
                  <w:divsChild>
                    <w:div w:id="1234243737">
                      <w:marLeft w:val="0"/>
                      <w:marRight w:val="0"/>
                      <w:marTop w:val="0"/>
                      <w:marBottom w:val="0"/>
                      <w:divBdr>
                        <w:top w:val="none" w:sz="0" w:space="0" w:color="auto"/>
                        <w:left w:val="none" w:sz="0" w:space="0" w:color="auto"/>
                        <w:bottom w:val="none" w:sz="0" w:space="0" w:color="auto"/>
                        <w:right w:val="none" w:sz="0" w:space="0" w:color="auto"/>
                      </w:divBdr>
                      <w:divsChild>
                        <w:div w:id="1234243483">
                          <w:marLeft w:val="0"/>
                          <w:marRight w:val="0"/>
                          <w:marTop w:val="0"/>
                          <w:marBottom w:val="0"/>
                          <w:divBdr>
                            <w:top w:val="none" w:sz="0" w:space="0" w:color="auto"/>
                            <w:left w:val="none" w:sz="0" w:space="0" w:color="auto"/>
                            <w:bottom w:val="none" w:sz="0" w:space="0" w:color="auto"/>
                            <w:right w:val="none" w:sz="0" w:space="0" w:color="auto"/>
                          </w:divBdr>
                          <w:divsChild>
                            <w:div w:id="12342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3506">
      <w:marLeft w:val="0"/>
      <w:marRight w:val="0"/>
      <w:marTop w:val="0"/>
      <w:marBottom w:val="0"/>
      <w:divBdr>
        <w:top w:val="none" w:sz="0" w:space="0" w:color="auto"/>
        <w:left w:val="none" w:sz="0" w:space="0" w:color="auto"/>
        <w:bottom w:val="none" w:sz="0" w:space="0" w:color="auto"/>
        <w:right w:val="none" w:sz="0" w:space="0" w:color="auto"/>
      </w:divBdr>
    </w:div>
    <w:div w:id="1234243507">
      <w:marLeft w:val="0"/>
      <w:marRight w:val="0"/>
      <w:marTop w:val="0"/>
      <w:marBottom w:val="0"/>
      <w:divBdr>
        <w:top w:val="none" w:sz="0" w:space="0" w:color="auto"/>
        <w:left w:val="none" w:sz="0" w:space="0" w:color="auto"/>
        <w:bottom w:val="none" w:sz="0" w:space="0" w:color="auto"/>
        <w:right w:val="none" w:sz="0" w:space="0" w:color="auto"/>
      </w:divBdr>
    </w:div>
    <w:div w:id="1234243509">
      <w:marLeft w:val="0"/>
      <w:marRight w:val="0"/>
      <w:marTop w:val="0"/>
      <w:marBottom w:val="0"/>
      <w:divBdr>
        <w:top w:val="none" w:sz="0" w:space="0" w:color="auto"/>
        <w:left w:val="none" w:sz="0" w:space="0" w:color="auto"/>
        <w:bottom w:val="none" w:sz="0" w:space="0" w:color="auto"/>
        <w:right w:val="none" w:sz="0" w:space="0" w:color="auto"/>
      </w:divBdr>
    </w:div>
    <w:div w:id="1234243514">
      <w:marLeft w:val="0"/>
      <w:marRight w:val="0"/>
      <w:marTop w:val="0"/>
      <w:marBottom w:val="0"/>
      <w:divBdr>
        <w:top w:val="none" w:sz="0" w:space="0" w:color="auto"/>
        <w:left w:val="none" w:sz="0" w:space="0" w:color="auto"/>
        <w:bottom w:val="none" w:sz="0" w:space="0" w:color="auto"/>
        <w:right w:val="none" w:sz="0" w:space="0" w:color="auto"/>
      </w:divBdr>
    </w:div>
    <w:div w:id="1234243515">
      <w:marLeft w:val="0"/>
      <w:marRight w:val="0"/>
      <w:marTop w:val="0"/>
      <w:marBottom w:val="0"/>
      <w:divBdr>
        <w:top w:val="none" w:sz="0" w:space="0" w:color="auto"/>
        <w:left w:val="none" w:sz="0" w:space="0" w:color="auto"/>
        <w:bottom w:val="none" w:sz="0" w:space="0" w:color="auto"/>
        <w:right w:val="none" w:sz="0" w:space="0" w:color="auto"/>
      </w:divBdr>
      <w:divsChild>
        <w:div w:id="1234243648">
          <w:marLeft w:val="0"/>
          <w:marRight w:val="0"/>
          <w:marTop w:val="0"/>
          <w:marBottom w:val="0"/>
          <w:divBdr>
            <w:top w:val="none" w:sz="0" w:space="0" w:color="auto"/>
            <w:left w:val="none" w:sz="0" w:space="0" w:color="auto"/>
            <w:bottom w:val="none" w:sz="0" w:space="0" w:color="auto"/>
            <w:right w:val="none" w:sz="0" w:space="0" w:color="auto"/>
          </w:divBdr>
          <w:divsChild>
            <w:div w:id="12342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3517">
      <w:marLeft w:val="0"/>
      <w:marRight w:val="0"/>
      <w:marTop w:val="0"/>
      <w:marBottom w:val="0"/>
      <w:divBdr>
        <w:top w:val="none" w:sz="0" w:space="0" w:color="auto"/>
        <w:left w:val="none" w:sz="0" w:space="0" w:color="auto"/>
        <w:bottom w:val="none" w:sz="0" w:space="0" w:color="auto"/>
        <w:right w:val="none" w:sz="0" w:space="0" w:color="auto"/>
      </w:divBdr>
      <w:divsChild>
        <w:div w:id="1234243563">
          <w:marLeft w:val="0"/>
          <w:marRight w:val="0"/>
          <w:marTop w:val="0"/>
          <w:marBottom w:val="0"/>
          <w:divBdr>
            <w:top w:val="none" w:sz="0" w:space="0" w:color="auto"/>
            <w:left w:val="none" w:sz="0" w:space="0" w:color="auto"/>
            <w:bottom w:val="none" w:sz="0" w:space="0" w:color="auto"/>
            <w:right w:val="none" w:sz="0" w:space="0" w:color="auto"/>
          </w:divBdr>
          <w:divsChild>
            <w:div w:id="1234243562">
              <w:marLeft w:val="0"/>
              <w:marRight w:val="0"/>
              <w:marTop w:val="0"/>
              <w:marBottom w:val="0"/>
              <w:divBdr>
                <w:top w:val="none" w:sz="0" w:space="0" w:color="auto"/>
                <w:left w:val="none" w:sz="0" w:space="0" w:color="auto"/>
                <w:bottom w:val="none" w:sz="0" w:space="0" w:color="auto"/>
                <w:right w:val="none" w:sz="0" w:space="0" w:color="auto"/>
              </w:divBdr>
              <w:divsChild>
                <w:div w:id="1234243749">
                  <w:marLeft w:val="0"/>
                  <w:marRight w:val="0"/>
                  <w:marTop w:val="250"/>
                  <w:marBottom w:val="0"/>
                  <w:divBdr>
                    <w:top w:val="single" w:sz="4" w:space="0" w:color="CCCCCC"/>
                    <w:left w:val="none" w:sz="0" w:space="0" w:color="auto"/>
                    <w:bottom w:val="none" w:sz="0" w:space="0" w:color="auto"/>
                    <w:right w:val="none" w:sz="0" w:space="0" w:color="auto"/>
                  </w:divBdr>
                  <w:divsChild>
                    <w:div w:id="1234243660">
                      <w:marLeft w:val="326"/>
                      <w:marRight w:val="250"/>
                      <w:marTop w:val="125"/>
                      <w:marBottom w:val="250"/>
                      <w:divBdr>
                        <w:top w:val="none" w:sz="0" w:space="0" w:color="auto"/>
                        <w:left w:val="none" w:sz="0" w:space="0" w:color="auto"/>
                        <w:bottom w:val="none" w:sz="0" w:space="0" w:color="auto"/>
                        <w:right w:val="none" w:sz="0" w:space="0" w:color="auto"/>
                      </w:divBdr>
                      <w:divsChild>
                        <w:div w:id="1234243597">
                          <w:marLeft w:val="0"/>
                          <w:marRight w:val="0"/>
                          <w:marTop w:val="50"/>
                          <w:marBottom w:val="88"/>
                          <w:divBdr>
                            <w:top w:val="none" w:sz="0" w:space="0" w:color="auto"/>
                            <w:left w:val="none" w:sz="0" w:space="0" w:color="auto"/>
                            <w:bottom w:val="none" w:sz="0" w:space="0" w:color="auto"/>
                            <w:right w:val="none" w:sz="0" w:space="0" w:color="auto"/>
                          </w:divBdr>
                          <w:divsChild>
                            <w:div w:id="1234243771">
                              <w:marLeft w:val="0"/>
                              <w:marRight w:val="0"/>
                              <w:marTop w:val="0"/>
                              <w:marBottom w:val="0"/>
                              <w:divBdr>
                                <w:top w:val="none" w:sz="0" w:space="0" w:color="auto"/>
                                <w:left w:val="none" w:sz="0" w:space="0" w:color="auto"/>
                                <w:bottom w:val="none" w:sz="0" w:space="0" w:color="auto"/>
                                <w:right w:val="none" w:sz="0" w:space="0" w:color="auto"/>
                              </w:divBdr>
                              <w:divsChild>
                                <w:div w:id="12342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518">
      <w:marLeft w:val="0"/>
      <w:marRight w:val="0"/>
      <w:marTop w:val="0"/>
      <w:marBottom w:val="0"/>
      <w:divBdr>
        <w:top w:val="none" w:sz="0" w:space="0" w:color="auto"/>
        <w:left w:val="none" w:sz="0" w:space="0" w:color="auto"/>
        <w:bottom w:val="none" w:sz="0" w:space="0" w:color="auto"/>
        <w:right w:val="none" w:sz="0" w:space="0" w:color="auto"/>
      </w:divBdr>
    </w:div>
    <w:div w:id="1234243519">
      <w:marLeft w:val="0"/>
      <w:marRight w:val="0"/>
      <w:marTop w:val="0"/>
      <w:marBottom w:val="0"/>
      <w:divBdr>
        <w:top w:val="none" w:sz="0" w:space="0" w:color="auto"/>
        <w:left w:val="none" w:sz="0" w:space="0" w:color="auto"/>
        <w:bottom w:val="none" w:sz="0" w:space="0" w:color="auto"/>
        <w:right w:val="none" w:sz="0" w:space="0" w:color="auto"/>
      </w:divBdr>
    </w:div>
    <w:div w:id="1234243523">
      <w:marLeft w:val="0"/>
      <w:marRight w:val="0"/>
      <w:marTop w:val="0"/>
      <w:marBottom w:val="0"/>
      <w:divBdr>
        <w:top w:val="none" w:sz="0" w:space="0" w:color="auto"/>
        <w:left w:val="none" w:sz="0" w:space="0" w:color="auto"/>
        <w:bottom w:val="none" w:sz="0" w:space="0" w:color="auto"/>
        <w:right w:val="none" w:sz="0" w:space="0" w:color="auto"/>
      </w:divBdr>
    </w:div>
    <w:div w:id="1234243525">
      <w:marLeft w:val="0"/>
      <w:marRight w:val="0"/>
      <w:marTop w:val="0"/>
      <w:marBottom w:val="0"/>
      <w:divBdr>
        <w:top w:val="none" w:sz="0" w:space="0" w:color="auto"/>
        <w:left w:val="none" w:sz="0" w:space="0" w:color="auto"/>
        <w:bottom w:val="none" w:sz="0" w:space="0" w:color="auto"/>
        <w:right w:val="none" w:sz="0" w:space="0" w:color="auto"/>
      </w:divBdr>
      <w:divsChild>
        <w:div w:id="1234243755">
          <w:marLeft w:val="0"/>
          <w:marRight w:val="0"/>
          <w:marTop w:val="0"/>
          <w:marBottom w:val="0"/>
          <w:divBdr>
            <w:top w:val="none" w:sz="0" w:space="0" w:color="auto"/>
            <w:left w:val="none" w:sz="0" w:space="0" w:color="auto"/>
            <w:bottom w:val="none" w:sz="0" w:space="0" w:color="auto"/>
            <w:right w:val="none" w:sz="0" w:space="0" w:color="auto"/>
          </w:divBdr>
          <w:divsChild>
            <w:div w:id="1234243696">
              <w:marLeft w:val="0"/>
              <w:marRight w:val="0"/>
              <w:marTop w:val="0"/>
              <w:marBottom w:val="0"/>
              <w:divBdr>
                <w:top w:val="none" w:sz="0" w:space="0" w:color="auto"/>
                <w:left w:val="none" w:sz="0" w:space="0" w:color="auto"/>
                <w:bottom w:val="none" w:sz="0" w:space="0" w:color="auto"/>
                <w:right w:val="none" w:sz="0" w:space="0" w:color="auto"/>
              </w:divBdr>
              <w:divsChild>
                <w:div w:id="1234243511">
                  <w:marLeft w:val="0"/>
                  <w:marRight w:val="0"/>
                  <w:marTop w:val="250"/>
                  <w:marBottom w:val="0"/>
                  <w:divBdr>
                    <w:top w:val="single" w:sz="4" w:space="0" w:color="CCCCCC"/>
                    <w:left w:val="none" w:sz="0" w:space="0" w:color="auto"/>
                    <w:bottom w:val="none" w:sz="0" w:space="0" w:color="auto"/>
                    <w:right w:val="none" w:sz="0" w:space="0" w:color="auto"/>
                  </w:divBdr>
                  <w:divsChild>
                    <w:div w:id="1234243717">
                      <w:marLeft w:val="326"/>
                      <w:marRight w:val="250"/>
                      <w:marTop w:val="125"/>
                      <w:marBottom w:val="250"/>
                      <w:divBdr>
                        <w:top w:val="none" w:sz="0" w:space="0" w:color="auto"/>
                        <w:left w:val="none" w:sz="0" w:space="0" w:color="auto"/>
                        <w:bottom w:val="none" w:sz="0" w:space="0" w:color="auto"/>
                        <w:right w:val="none" w:sz="0" w:space="0" w:color="auto"/>
                      </w:divBdr>
                      <w:divsChild>
                        <w:div w:id="1234243493">
                          <w:marLeft w:val="0"/>
                          <w:marRight w:val="0"/>
                          <w:marTop w:val="50"/>
                          <w:marBottom w:val="88"/>
                          <w:divBdr>
                            <w:top w:val="none" w:sz="0" w:space="0" w:color="auto"/>
                            <w:left w:val="none" w:sz="0" w:space="0" w:color="auto"/>
                            <w:bottom w:val="none" w:sz="0" w:space="0" w:color="auto"/>
                            <w:right w:val="none" w:sz="0" w:space="0" w:color="auto"/>
                          </w:divBdr>
                          <w:divsChild>
                            <w:div w:id="1234243491">
                              <w:marLeft w:val="0"/>
                              <w:marRight w:val="0"/>
                              <w:marTop w:val="0"/>
                              <w:marBottom w:val="0"/>
                              <w:divBdr>
                                <w:top w:val="none" w:sz="0" w:space="0" w:color="auto"/>
                                <w:left w:val="none" w:sz="0" w:space="0" w:color="auto"/>
                                <w:bottom w:val="none" w:sz="0" w:space="0" w:color="auto"/>
                                <w:right w:val="none" w:sz="0" w:space="0" w:color="auto"/>
                              </w:divBdr>
                              <w:divsChild>
                                <w:div w:id="12342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529">
      <w:marLeft w:val="0"/>
      <w:marRight w:val="0"/>
      <w:marTop w:val="0"/>
      <w:marBottom w:val="0"/>
      <w:divBdr>
        <w:top w:val="none" w:sz="0" w:space="0" w:color="auto"/>
        <w:left w:val="none" w:sz="0" w:space="0" w:color="auto"/>
        <w:bottom w:val="none" w:sz="0" w:space="0" w:color="auto"/>
        <w:right w:val="none" w:sz="0" w:space="0" w:color="auto"/>
      </w:divBdr>
    </w:div>
    <w:div w:id="1234243532">
      <w:marLeft w:val="0"/>
      <w:marRight w:val="0"/>
      <w:marTop w:val="0"/>
      <w:marBottom w:val="0"/>
      <w:divBdr>
        <w:top w:val="none" w:sz="0" w:space="0" w:color="auto"/>
        <w:left w:val="none" w:sz="0" w:space="0" w:color="auto"/>
        <w:bottom w:val="none" w:sz="0" w:space="0" w:color="auto"/>
        <w:right w:val="none" w:sz="0" w:space="0" w:color="auto"/>
      </w:divBdr>
    </w:div>
    <w:div w:id="1234243533">
      <w:marLeft w:val="0"/>
      <w:marRight w:val="0"/>
      <w:marTop w:val="0"/>
      <w:marBottom w:val="0"/>
      <w:divBdr>
        <w:top w:val="none" w:sz="0" w:space="0" w:color="auto"/>
        <w:left w:val="none" w:sz="0" w:space="0" w:color="auto"/>
        <w:bottom w:val="none" w:sz="0" w:space="0" w:color="auto"/>
        <w:right w:val="none" w:sz="0" w:space="0" w:color="auto"/>
      </w:divBdr>
    </w:div>
    <w:div w:id="1234243534">
      <w:marLeft w:val="0"/>
      <w:marRight w:val="0"/>
      <w:marTop w:val="0"/>
      <w:marBottom w:val="0"/>
      <w:divBdr>
        <w:top w:val="none" w:sz="0" w:space="0" w:color="auto"/>
        <w:left w:val="none" w:sz="0" w:space="0" w:color="auto"/>
        <w:bottom w:val="none" w:sz="0" w:space="0" w:color="auto"/>
        <w:right w:val="none" w:sz="0" w:space="0" w:color="auto"/>
      </w:divBdr>
    </w:div>
    <w:div w:id="1234243535">
      <w:marLeft w:val="0"/>
      <w:marRight w:val="0"/>
      <w:marTop w:val="0"/>
      <w:marBottom w:val="0"/>
      <w:divBdr>
        <w:top w:val="none" w:sz="0" w:space="0" w:color="auto"/>
        <w:left w:val="none" w:sz="0" w:space="0" w:color="auto"/>
        <w:bottom w:val="none" w:sz="0" w:space="0" w:color="auto"/>
        <w:right w:val="none" w:sz="0" w:space="0" w:color="auto"/>
      </w:divBdr>
    </w:div>
    <w:div w:id="1234243537">
      <w:marLeft w:val="0"/>
      <w:marRight w:val="0"/>
      <w:marTop w:val="0"/>
      <w:marBottom w:val="0"/>
      <w:divBdr>
        <w:top w:val="none" w:sz="0" w:space="0" w:color="auto"/>
        <w:left w:val="none" w:sz="0" w:space="0" w:color="auto"/>
        <w:bottom w:val="none" w:sz="0" w:space="0" w:color="auto"/>
        <w:right w:val="none" w:sz="0" w:space="0" w:color="auto"/>
      </w:divBdr>
    </w:div>
    <w:div w:id="1234243538">
      <w:marLeft w:val="0"/>
      <w:marRight w:val="0"/>
      <w:marTop w:val="0"/>
      <w:marBottom w:val="0"/>
      <w:divBdr>
        <w:top w:val="none" w:sz="0" w:space="0" w:color="auto"/>
        <w:left w:val="none" w:sz="0" w:space="0" w:color="auto"/>
        <w:bottom w:val="none" w:sz="0" w:space="0" w:color="auto"/>
        <w:right w:val="none" w:sz="0" w:space="0" w:color="auto"/>
      </w:divBdr>
    </w:div>
    <w:div w:id="1234243539">
      <w:marLeft w:val="0"/>
      <w:marRight w:val="0"/>
      <w:marTop w:val="0"/>
      <w:marBottom w:val="0"/>
      <w:divBdr>
        <w:top w:val="none" w:sz="0" w:space="0" w:color="auto"/>
        <w:left w:val="none" w:sz="0" w:space="0" w:color="auto"/>
        <w:bottom w:val="none" w:sz="0" w:space="0" w:color="auto"/>
        <w:right w:val="none" w:sz="0" w:space="0" w:color="auto"/>
      </w:divBdr>
    </w:div>
    <w:div w:id="1234243540">
      <w:marLeft w:val="0"/>
      <w:marRight w:val="0"/>
      <w:marTop w:val="0"/>
      <w:marBottom w:val="0"/>
      <w:divBdr>
        <w:top w:val="none" w:sz="0" w:space="0" w:color="auto"/>
        <w:left w:val="none" w:sz="0" w:space="0" w:color="auto"/>
        <w:bottom w:val="none" w:sz="0" w:space="0" w:color="auto"/>
        <w:right w:val="none" w:sz="0" w:space="0" w:color="auto"/>
      </w:divBdr>
    </w:div>
    <w:div w:id="1234243542">
      <w:marLeft w:val="0"/>
      <w:marRight w:val="0"/>
      <w:marTop w:val="0"/>
      <w:marBottom w:val="0"/>
      <w:divBdr>
        <w:top w:val="none" w:sz="0" w:space="0" w:color="auto"/>
        <w:left w:val="none" w:sz="0" w:space="0" w:color="auto"/>
        <w:bottom w:val="none" w:sz="0" w:space="0" w:color="auto"/>
        <w:right w:val="none" w:sz="0" w:space="0" w:color="auto"/>
      </w:divBdr>
    </w:div>
    <w:div w:id="1234243550">
      <w:marLeft w:val="0"/>
      <w:marRight w:val="0"/>
      <w:marTop w:val="0"/>
      <w:marBottom w:val="0"/>
      <w:divBdr>
        <w:top w:val="none" w:sz="0" w:space="0" w:color="auto"/>
        <w:left w:val="none" w:sz="0" w:space="0" w:color="auto"/>
        <w:bottom w:val="none" w:sz="0" w:space="0" w:color="auto"/>
        <w:right w:val="none" w:sz="0" w:space="0" w:color="auto"/>
      </w:divBdr>
    </w:div>
    <w:div w:id="1234243552">
      <w:marLeft w:val="0"/>
      <w:marRight w:val="0"/>
      <w:marTop w:val="0"/>
      <w:marBottom w:val="0"/>
      <w:divBdr>
        <w:top w:val="none" w:sz="0" w:space="0" w:color="auto"/>
        <w:left w:val="none" w:sz="0" w:space="0" w:color="auto"/>
        <w:bottom w:val="none" w:sz="0" w:space="0" w:color="auto"/>
        <w:right w:val="none" w:sz="0" w:space="0" w:color="auto"/>
      </w:divBdr>
      <w:divsChild>
        <w:div w:id="1234243512">
          <w:marLeft w:val="0"/>
          <w:marRight w:val="0"/>
          <w:marTop w:val="0"/>
          <w:marBottom w:val="0"/>
          <w:divBdr>
            <w:top w:val="none" w:sz="0" w:space="0" w:color="auto"/>
            <w:left w:val="none" w:sz="0" w:space="0" w:color="auto"/>
            <w:bottom w:val="none" w:sz="0" w:space="0" w:color="auto"/>
            <w:right w:val="none" w:sz="0" w:space="0" w:color="auto"/>
          </w:divBdr>
          <w:divsChild>
            <w:div w:id="123424361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300"/>
                  <w:marBottom w:val="0"/>
                  <w:divBdr>
                    <w:top w:val="single" w:sz="6" w:space="0" w:color="CCCCCC"/>
                    <w:left w:val="none" w:sz="0" w:space="0" w:color="auto"/>
                    <w:bottom w:val="none" w:sz="0" w:space="0" w:color="auto"/>
                    <w:right w:val="none" w:sz="0" w:space="0" w:color="auto"/>
                  </w:divBdr>
                  <w:divsChild>
                    <w:div w:id="1234243716">
                      <w:marLeft w:val="390"/>
                      <w:marRight w:val="300"/>
                      <w:marTop w:val="150"/>
                      <w:marBottom w:val="300"/>
                      <w:divBdr>
                        <w:top w:val="none" w:sz="0" w:space="0" w:color="auto"/>
                        <w:left w:val="none" w:sz="0" w:space="0" w:color="auto"/>
                        <w:bottom w:val="none" w:sz="0" w:space="0" w:color="auto"/>
                        <w:right w:val="none" w:sz="0" w:space="0" w:color="auto"/>
                      </w:divBdr>
                      <w:divsChild>
                        <w:div w:id="1234243574">
                          <w:marLeft w:val="0"/>
                          <w:marRight w:val="0"/>
                          <w:marTop w:val="60"/>
                          <w:marBottom w:val="105"/>
                          <w:divBdr>
                            <w:top w:val="none" w:sz="0" w:space="0" w:color="auto"/>
                            <w:left w:val="none" w:sz="0" w:space="0" w:color="auto"/>
                            <w:bottom w:val="none" w:sz="0" w:space="0" w:color="auto"/>
                            <w:right w:val="none" w:sz="0" w:space="0" w:color="auto"/>
                          </w:divBdr>
                          <w:divsChild>
                            <w:div w:id="1234243502">
                              <w:marLeft w:val="0"/>
                              <w:marRight w:val="0"/>
                              <w:marTop w:val="0"/>
                              <w:marBottom w:val="0"/>
                              <w:divBdr>
                                <w:top w:val="none" w:sz="0" w:space="0" w:color="auto"/>
                                <w:left w:val="none" w:sz="0" w:space="0" w:color="auto"/>
                                <w:bottom w:val="none" w:sz="0" w:space="0" w:color="auto"/>
                                <w:right w:val="none" w:sz="0" w:space="0" w:color="auto"/>
                              </w:divBdr>
                              <w:divsChild>
                                <w:div w:id="12342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553">
      <w:marLeft w:val="0"/>
      <w:marRight w:val="0"/>
      <w:marTop w:val="0"/>
      <w:marBottom w:val="0"/>
      <w:divBdr>
        <w:top w:val="none" w:sz="0" w:space="0" w:color="auto"/>
        <w:left w:val="none" w:sz="0" w:space="0" w:color="auto"/>
        <w:bottom w:val="none" w:sz="0" w:space="0" w:color="auto"/>
        <w:right w:val="none" w:sz="0" w:space="0" w:color="auto"/>
      </w:divBdr>
    </w:div>
    <w:div w:id="1234243556">
      <w:marLeft w:val="0"/>
      <w:marRight w:val="0"/>
      <w:marTop w:val="0"/>
      <w:marBottom w:val="0"/>
      <w:divBdr>
        <w:top w:val="none" w:sz="0" w:space="0" w:color="auto"/>
        <w:left w:val="none" w:sz="0" w:space="0" w:color="auto"/>
        <w:bottom w:val="none" w:sz="0" w:space="0" w:color="auto"/>
        <w:right w:val="none" w:sz="0" w:space="0" w:color="auto"/>
      </w:divBdr>
    </w:div>
    <w:div w:id="1234243559">
      <w:marLeft w:val="0"/>
      <w:marRight w:val="0"/>
      <w:marTop w:val="0"/>
      <w:marBottom w:val="0"/>
      <w:divBdr>
        <w:top w:val="none" w:sz="0" w:space="0" w:color="auto"/>
        <w:left w:val="none" w:sz="0" w:space="0" w:color="auto"/>
        <w:bottom w:val="none" w:sz="0" w:space="0" w:color="auto"/>
        <w:right w:val="none" w:sz="0" w:space="0" w:color="auto"/>
      </w:divBdr>
    </w:div>
    <w:div w:id="1234243561">
      <w:marLeft w:val="0"/>
      <w:marRight w:val="0"/>
      <w:marTop w:val="0"/>
      <w:marBottom w:val="0"/>
      <w:divBdr>
        <w:top w:val="none" w:sz="0" w:space="0" w:color="auto"/>
        <w:left w:val="none" w:sz="0" w:space="0" w:color="auto"/>
        <w:bottom w:val="none" w:sz="0" w:space="0" w:color="auto"/>
        <w:right w:val="none" w:sz="0" w:space="0" w:color="auto"/>
      </w:divBdr>
    </w:div>
    <w:div w:id="1234243564">
      <w:marLeft w:val="0"/>
      <w:marRight w:val="0"/>
      <w:marTop w:val="0"/>
      <w:marBottom w:val="0"/>
      <w:divBdr>
        <w:top w:val="none" w:sz="0" w:space="0" w:color="auto"/>
        <w:left w:val="none" w:sz="0" w:space="0" w:color="auto"/>
        <w:bottom w:val="none" w:sz="0" w:space="0" w:color="auto"/>
        <w:right w:val="none" w:sz="0" w:space="0" w:color="auto"/>
      </w:divBdr>
    </w:div>
    <w:div w:id="1234243569">
      <w:marLeft w:val="0"/>
      <w:marRight w:val="0"/>
      <w:marTop w:val="0"/>
      <w:marBottom w:val="0"/>
      <w:divBdr>
        <w:top w:val="none" w:sz="0" w:space="0" w:color="auto"/>
        <w:left w:val="none" w:sz="0" w:space="0" w:color="auto"/>
        <w:bottom w:val="none" w:sz="0" w:space="0" w:color="auto"/>
        <w:right w:val="none" w:sz="0" w:space="0" w:color="auto"/>
      </w:divBdr>
    </w:div>
    <w:div w:id="1234243571">
      <w:marLeft w:val="0"/>
      <w:marRight w:val="0"/>
      <w:marTop w:val="0"/>
      <w:marBottom w:val="0"/>
      <w:divBdr>
        <w:top w:val="none" w:sz="0" w:space="0" w:color="auto"/>
        <w:left w:val="none" w:sz="0" w:space="0" w:color="auto"/>
        <w:bottom w:val="none" w:sz="0" w:space="0" w:color="auto"/>
        <w:right w:val="none" w:sz="0" w:space="0" w:color="auto"/>
      </w:divBdr>
    </w:div>
    <w:div w:id="1234243572">
      <w:marLeft w:val="0"/>
      <w:marRight w:val="0"/>
      <w:marTop w:val="0"/>
      <w:marBottom w:val="0"/>
      <w:divBdr>
        <w:top w:val="none" w:sz="0" w:space="0" w:color="auto"/>
        <w:left w:val="none" w:sz="0" w:space="0" w:color="auto"/>
        <w:bottom w:val="none" w:sz="0" w:space="0" w:color="auto"/>
        <w:right w:val="none" w:sz="0" w:space="0" w:color="auto"/>
      </w:divBdr>
    </w:div>
    <w:div w:id="1234243578">
      <w:marLeft w:val="0"/>
      <w:marRight w:val="0"/>
      <w:marTop w:val="0"/>
      <w:marBottom w:val="0"/>
      <w:divBdr>
        <w:top w:val="none" w:sz="0" w:space="0" w:color="auto"/>
        <w:left w:val="none" w:sz="0" w:space="0" w:color="auto"/>
        <w:bottom w:val="none" w:sz="0" w:space="0" w:color="auto"/>
        <w:right w:val="none" w:sz="0" w:space="0" w:color="auto"/>
      </w:divBdr>
    </w:div>
    <w:div w:id="1234243579">
      <w:marLeft w:val="0"/>
      <w:marRight w:val="0"/>
      <w:marTop w:val="0"/>
      <w:marBottom w:val="0"/>
      <w:divBdr>
        <w:top w:val="none" w:sz="0" w:space="0" w:color="auto"/>
        <w:left w:val="none" w:sz="0" w:space="0" w:color="auto"/>
        <w:bottom w:val="none" w:sz="0" w:space="0" w:color="auto"/>
        <w:right w:val="none" w:sz="0" w:space="0" w:color="auto"/>
      </w:divBdr>
    </w:div>
    <w:div w:id="1234243580">
      <w:marLeft w:val="0"/>
      <w:marRight w:val="0"/>
      <w:marTop w:val="0"/>
      <w:marBottom w:val="0"/>
      <w:divBdr>
        <w:top w:val="none" w:sz="0" w:space="0" w:color="auto"/>
        <w:left w:val="none" w:sz="0" w:space="0" w:color="auto"/>
        <w:bottom w:val="none" w:sz="0" w:space="0" w:color="auto"/>
        <w:right w:val="none" w:sz="0" w:space="0" w:color="auto"/>
      </w:divBdr>
    </w:div>
    <w:div w:id="1234243584">
      <w:marLeft w:val="0"/>
      <w:marRight w:val="0"/>
      <w:marTop w:val="0"/>
      <w:marBottom w:val="0"/>
      <w:divBdr>
        <w:top w:val="none" w:sz="0" w:space="0" w:color="auto"/>
        <w:left w:val="none" w:sz="0" w:space="0" w:color="auto"/>
        <w:bottom w:val="none" w:sz="0" w:space="0" w:color="auto"/>
        <w:right w:val="none" w:sz="0" w:space="0" w:color="auto"/>
      </w:divBdr>
      <w:divsChild>
        <w:div w:id="1234243586">
          <w:marLeft w:val="0"/>
          <w:marRight w:val="0"/>
          <w:marTop w:val="0"/>
          <w:marBottom w:val="0"/>
          <w:divBdr>
            <w:top w:val="none" w:sz="0" w:space="0" w:color="auto"/>
            <w:left w:val="none" w:sz="0" w:space="0" w:color="auto"/>
            <w:bottom w:val="none" w:sz="0" w:space="0" w:color="auto"/>
            <w:right w:val="none" w:sz="0" w:space="0" w:color="auto"/>
          </w:divBdr>
          <w:divsChild>
            <w:div w:id="1234243554">
              <w:marLeft w:val="0"/>
              <w:marRight w:val="0"/>
              <w:marTop w:val="0"/>
              <w:marBottom w:val="0"/>
              <w:divBdr>
                <w:top w:val="none" w:sz="0" w:space="0" w:color="auto"/>
                <w:left w:val="none" w:sz="0" w:space="0" w:color="auto"/>
                <w:bottom w:val="none" w:sz="0" w:space="0" w:color="auto"/>
                <w:right w:val="none" w:sz="0" w:space="0" w:color="auto"/>
              </w:divBdr>
              <w:divsChild>
                <w:div w:id="1234243725">
                  <w:marLeft w:val="0"/>
                  <w:marRight w:val="0"/>
                  <w:marTop w:val="300"/>
                  <w:marBottom w:val="0"/>
                  <w:divBdr>
                    <w:top w:val="single" w:sz="6" w:space="0" w:color="CCCCCC"/>
                    <w:left w:val="none" w:sz="0" w:space="0" w:color="auto"/>
                    <w:bottom w:val="none" w:sz="0" w:space="0" w:color="auto"/>
                    <w:right w:val="none" w:sz="0" w:space="0" w:color="auto"/>
                  </w:divBdr>
                  <w:divsChild>
                    <w:div w:id="1234243642">
                      <w:marLeft w:val="390"/>
                      <w:marRight w:val="300"/>
                      <w:marTop w:val="150"/>
                      <w:marBottom w:val="300"/>
                      <w:divBdr>
                        <w:top w:val="none" w:sz="0" w:space="0" w:color="auto"/>
                        <w:left w:val="none" w:sz="0" w:space="0" w:color="auto"/>
                        <w:bottom w:val="none" w:sz="0" w:space="0" w:color="auto"/>
                        <w:right w:val="none" w:sz="0" w:space="0" w:color="auto"/>
                      </w:divBdr>
                      <w:divsChild>
                        <w:div w:id="1234243479">
                          <w:marLeft w:val="0"/>
                          <w:marRight w:val="0"/>
                          <w:marTop w:val="60"/>
                          <w:marBottom w:val="105"/>
                          <w:divBdr>
                            <w:top w:val="none" w:sz="0" w:space="0" w:color="auto"/>
                            <w:left w:val="none" w:sz="0" w:space="0" w:color="auto"/>
                            <w:bottom w:val="none" w:sz="0" w:space="0" w:color="auto"/>
                            <w:right w:val="none" w:sz="0" w:space="0" w:color="auto"/>
                          </w:divBdr>
                          <w:divsChild>
                            <w:div w:id="1234243719">
                              <w:marLeft w:val="0"/>
                              <w:marRight w:val="0"/>
                              <w:marTop w:val="0"/>
                              <w:marBottom w:val="0"/>
                              <w:divBdr>
                                <w:top w:val="none" w:sz="0" w:space="0" w:color="auto"/>
                                <w:left w:val="none" w:sz="0" w:space="0" w:color="auto"/>
                                <w:bottom w:val="none" w:sz="0" w:space="0" w:color="auto"/>
                                <w:right w:val="none" w:sz="0" w:space="0" w:color="auto"/>
                              </w:divBdr>
                              <w:divsChild>
                                <w:div w:id="1234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585">
      <w:marLeft w:val="0"/>
      <w:marRight w:val="0"/>
      <w:marTop w:val="0"/>
      <w:marBottom w:val="0"/>
      <w:divBdr>
        <w:top w:val="none" w:sz="0" w:space="0" w:color="auto"/>
        <w:left w:val="none" w:sz="0" w:space="0" w:color="auto"/>
        <w:bottom w:val="none" w:sz="0" w:space="0" w:color="auto"/>
        <w:right w:val="none" w:sz="0" w:space="0" w:color="auto"/>
      </w:divBdr>
      <w:divsChild>
        <w:div w:id="1234243710">
          <w:marLeft w:val="0"/>
          <w:marRight w:val="0"/>
          <w:marTop w:val="0"/>
          <w:marBottom w:val="0"/>
          <w:divBdr>
            <w:top w:val="none" w:sz="0" w:space="0" w:color="auto"/>
            <w:left w:val="none" w:sz="0" w:space="0" w:color="auto"/>
            <w:bottom w:val="none" w:sz="0" w:space="0" w:color="auto"/>
            <w:right w:val="none" w:sz="0" w:space="0" w:color="auto"/>
          </w:divBdr>
          <w:divsChild>
            <w:div w:id="1234243645">
              <w:marLeft w:val="0"/>
              <w:marRight w:val="0"/>
              <w:marTop w:val="0"/>
              <w:marBottom w:val="0"/>
              <w:divBdr>
                <w:top w:val="none" w:sz="0" w:space="0" w:color="auto"/>
                <w:left w:val="none" w:sz="0" w:space="0" w:color="auto"/>
                <w:bottom w:val="none" w:sz="0" w:space="0" w:color="auto"/>
                <w:right w:val="none" w:sz="0" w:space="0" w:color="auto"/>
              </w:divBdr>
              <w:divsChild>
                <w:div w:id="1234243528">
                  <w:marLeft w:val="0"/>
                  <w:marRight w:val="0"/>
                  <w:marTop w:val="250"/>
                  <w:marBottom w:val="0"/>
                  <w:divBdr>
                    <w:top w:val="single" w:sz="4" w:space="0" w:color="CCCCCC"/>
                    <w:left w:val="none" w:sz="0" w:space="0" w:color="auto"/>
                    <w:bottom w:val="none" w:sz="0" w:space="0" w:color="auto"/>
                    <w:right w:val="none" w:sz="0" w:space="0" w:color="auto"/>
                  </w:divBdr>
                  <w:divsChild>
                    <w:div w:id="1234243549">
                      <w:marLeft w:val="326"/>
                      <w:marRight w:val="250"/>
                      <w:marTop w:val="125"/>
                      <w:marBottom w:val="250"/>
                      <w:divBdr>
                        <w:top w:val="none" w:sz="0" w:space="0" w:color="auto"/>
                        <w:left w:val="none" w:sz="0" w:space="0" w:color="auto"/>
                        <w:bottom w:val="none" w:sz="0" w:space="0" w:color="auto"/>
                        <w:right w:val="none" w:sz="0" w:space="0" w:color="auto"/>
                      </w:divBdr>
                      <w:divsChild>
                        <w:div w:id="1234243583">
                          <w:marLeft w:val="0"/>
                          <w:marRight w:val="0"/>
                          <w:marTop w:val="50"/>
                          <w:marBottom w:val="88"/>
                          <w:divBdr>
                            <w:top w:val="none" w:sz="0" w:space="0" w:color="auto"/>
                            <w:left w:val="none" w:sz="0" w:space="0" w:color="auto"/>
                            <w:bottom w:val="none" w:sz="0" w:space="0" w:color="auto"/>
                            <w:right w:val="none" w:sz="0" w:space="0" w:color="auto"/>
                          </w:divBdr>
                          <w:divsChild>
                            <w:div w:id="1234243623">
                              <w:marLeft w:val="0"/>
                              <w:marRight w:val="0"/>
                              <w:marTop w:val="0"/>
                              <w:marBottom w:val="0"/>
                              <w:divBdr>
                                <w:top w:val="none" w:sz="0" w:space="0" w:color="auto"/>
                                <w:left w:val="none" w:sz="0" w:space="0" w:color="auto"/>
                                <w:bottom w:val="none" w:sz="0" w:space="0" w:color="auto"/>
                                <w:right w:val="none" w:sz="0" w:space="0" w:color="auto"/>
                              </w:divBdr>
                              <w:divsChild>
                                <w:div w:id="12342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587">
      <w:marLeft w:val="0"/>
      <w:marRight w:val="0"/>
      <w:marTop w:val="0"/>
      <w:marBottom w:val="0"/>
      <w:divBdr>
        <w:top w:val="none" w:sz="0" w:space="0" w:color="auto"/>
        <w:left w:val="none" w:sz="0" w:space="0" w:color="auto"/>
        <w:bottom w:val="none" w:sz="0" w:space="0" w:color="auto"/>
        <w:right w:val="none" w:sz="0" w:space="0" w:color="auto"/>
      </w:divBdr>
    </w:div>
    <w:div w:id="1234243588">
      <w:marLeft w:val="0"/>
      <w:marRight w:val="0"/>
      <w:marTop w:val="0"/>
      <w:marBottom w:val="0"/>
      <w:divBdr>
        <w:top w:val="none" w:sz="0" w:space="0" w:color="auto"/>
        <w:left w:val="none" w:sz="0" w:space="0" w:color="auto"/>
        <w:bottom w:val="none" w:sz="0" w:space="0" w:color="auto"/>
        <w:right w:val="none" w:sz="0" w:space="0" w:color="auto"/>
      </w:divBdr>
    </w:div>
    <w:div w:id="1234243590">
      <w:marLeft w:val="0"/>
      <w:marRight w:val="0"/>
      <w:marTop w:val="0"/>
      <w:marBottom w:val="0"/>
      <w:divBdr>
        <w:top w:val="none" w:sz="0" w:space="0" w:color="auto"/>
        <w:left w:val="none" w:sz="0" w:space="0" w:color="auto"/>
        <w:bottom w:val="none" w:sz="0" w:space="0" w:color="auto"/>
        <w:right w:val="none" w:sz="0" w:space="0" w:color="auto"/>
      </w:divBdr>
      <w:divsChild>
        <w:div w:id="1234243789">
          <w:marLeft w:val="0"/>
          <w:marRight w:val="0"/>
          <w:marTop w:val="0"/>
          <w:marBottom w:val="0"/>
          <w:divBdr>
            <w:top w:val="none" w:sz="0" w:space="0" w:color="auto"/>
            <w:left w:val="none" w:sz="0" w:space="0" w:color="auto"/>
            <w:bottom w:val="none" w:sz="0" w:space="0" w:color="auto"/>
            <w:right w:val="none" w:sz="0" w:space="0" w:color="auto"/>
          </w:divBdr>
          <w:divsChild>
            <w:div w:id="1234243606">
              <w:marLeft w:val="0"/>
              <w:marRight w:val="0"/>
              <w:marTop w:val="0"/>
              <w:marBottom w:val="0"/>
              <w:divBdr>
                <w:top w:val="none" w:sz="0" w:space="0" w:color="auto"/>
                <w:left w:val="none" w:sz="0" w:space="0" w:color="auto"/>
                <w:bottom w:val="none" w:sz="0" w:space="0" w:color="auto"/>
                <w:right w:val="none" w:sz="0" w:space="0" w:color="auto"/>
              </w:divBdr>
              <w:divsChild>
                <w:div w:id="1234243555">
                  <w:marLeft w:val="0"/>
                  <w:marRight w:val="0"/>
                  <w:marTop w:val="300"/>
                  <w:marBottom w:val="0"/>
                  <w:divBdr>
                    <w:top w:val="single" w:sz="6" w:space="0" w:color="CCCCCC"/>
                    <w:left w:val="none" w:sz="0" w:space="0" w:color="auto"/>
                    <w:bottom w:val="none" w:sz="0" w:space="0" w:color="auto"/>
                    <w:right w:val="none" w:sz="0" w:space="0" w:color="auto"/>
                  </w:divBdr>
                  <w:divsChild>
                    <w:div w:id="1234243680">
                      <w:marLeft w:val="390"/>
                      <w:marRight w:val="300"/>
                      <w:marTop w:val="150"/>
                      <w:marBottom w:val="300"/>
                      <w:divBdr>
                        <w:top w:val="none" w:sz="0" w:space="0" w:color="auto"/>
                        <w:left w:val="none" w:sz="0" w:space="0" w:color="auto"/>
                        <w:bottom w:val="none" w:sz="0" w:space="0" w:color="auto"/>
                        <w:right w:val="none" w:sz="0" w:space="0" w:color="auto"/>
                      </w:divBdr>
                      <w:divsChild>
                        <w:div w:id="1234243647">
                          <w:marLeft w:val="0"/>
                          <w:marRight w:val="0"/>
                          <w:marTop w:val="60"/>
                          <w:marBottom w:val="105"/>
                          <w:divBdr>
                            <w:top w:val="none" w:sz="0" w:space="0" w:color="auto"/>
                            <w:left w:val="none" w:sz="0" w:space="0" w:color="auto"/>
                            <w:bottom w:val="none" w:sz="0" w:space="0" w:color="auto"/>
                            <w:right w:val="none" w:sz="0" w:space="0" w:color="auto"/>
                          </w:divBdr>
                          <w:divsChild>
                            <w:div w:id="1234243795">
                              <w:marLeft w:val="0"/>
                              <w:marRight w:val="0"/>
                              <w:marTop w:val="0"/>
                              <w:marBottom w:val="0"/>
                              <w:divBdr>
                                <w:top w:val="none" w:sz="0" w:space="0" w:color="auto"/>
                                <w:left w:val="none" w:sz="0" w:space="0" w:color="auto"/>
                                <w:bottom w:val="none" w:sz="0" w:space="0" w:color="auto"/>
                                <w:right w:val="none" w:sz="0" w:space="0" w:color="auto"/>
                              </w:divBdr>
                              <w:divsChild>
                                <w:div w:id="1234243530">
                                  <w:marLeft w:val="0"/>
                                  <w:marRight w:val="0"/>
                                  <w:marTop w:val="0"/>
                                  <w:marBottom w:val="0"/>
                                  <w:divBdr>
                                    <w:top w:val="none" w:sz="0" w:space="0" w:color="auto"/>
                                    <w:left w:val="none" w:sz="0" w:space="0" w:color="auto"/>
                                    <w:bottom w:val="none" w:sz="0" w:space="0" w:color="auto"/>
                                    <w:right w:val="none" w:sz="0" w:space="0" w:color="auto"/>
                                  </w:divBdr>
                                  <w:divsChild>
                                    <w:div w:id="1234243490">
                                      <w:marLeft w:val="0"/>
                                      <w:marRight w:val="0"/>
                                      <w:marTop w:val="0"/>
                                      <w:marBottom w:val="0"/>
                                      <w:divBdr>
                                        <w:top w:val="none" w:sz="0" w:space="0" w:color="auto"/>
                                        <w:left w:val="none" w:sz="0" w:space="0" w:color="auto"/>
                                        <w:bottom w:val="none" w:sz="0" w:space="0" w:color="auto"/>
                                        <w:right w:val="none" w:sz="0" w:space="0" w:color="auto"/>
                                      </w:divBdr>
                                    </w:div>
                                    <w:div w:id="1234243527">
                                      <w:marLeft w:val="0"/>
                                      <w:marRight w:val="0"/>
                                      <w:marTop w:val="0"/>
                                      <w:marBottom w:val="0"/>
                                      <w:divBdr>
                                        <w:top w:val="none" w:sz="0" w:space="0" w:color="auto"/>
                                        <w:left w:val="none" w:sz="0" w:space="0" w:color="auto"/>
                                        <w:bottom w:val="none" w:sz="0" w:space="0" w:color="auto"/>
                                        <w:right w:val="none" w:sz="0" w:space="0" w:color="auto"/>
                                      </w:divBdr>
                                    </w:div>
                                    <w:div w:id="1234243762">
                                      <w:marLeft w:val="0"/>
                                      <w:marRight w:val="0"/>
                                      <w:marTop w:val="0"/>
                                      <w:marBottom w:val="0"/>
                                      <w:divBdr>
                                        <w:top w:val="none" w:sz="0" w:space="0" w:color="auto"/>
                                        <w:left w:val="none" w:sz="0" w:space="0" w:color="auto"/>
                                        <w:bottom w:val="none" w:sz="0" w:space="0" w:color="auto"/>
                                        <w:right w:val="none" w:sz="0" w:space="0" w:color="auto"/>
                                      </w:divBdr>
                                    </w:div>
                                    <w:div w:id="12342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3592">
      <w:marLeft w:val="0"/>
      <w:marRight w:val="0"/>
      <w:marTop w:val="0"/>
      <w:marBottom w:val="0"/>
      <w:divBdr>
        <w:top w:val="none" w:sz="0" w:space="0" w:color="auto"/>
        <w:left w:val="none" w:sz="0" w:space="0" w:color="auto"/>
        <w:bottom w:val="none" w:sz="0" w:space="0" w:color="auto"/>
        <w:right w:val="none" w:sz="0" w:space="0" w:color="auto"/>
      </w:divBdr>
    </w:div>
    <w:div w:id="1234243593">
      <w:marLeft w:val="0"/>
      <w:marRight w:val="0"/>
      <w:marTop w:val="0"/>
      <w:marBottom w:val="0"/>
      <w:divBdr>
        <w:top w:val="none" w:sz="0" w:space="0" w:color="auto"/>
        <w:left w:val="none" w:sz="0" w:space="0" w:color="auto"/>
        <w:bottom w:val="none" w:sz="0" w:space="0" w:color="auto"/>
        <w:right w:val="none" w:sz="0" w:space="0" w:color="auto"/>
      </w:divBdr>
    </w:div>
    <w:div w:id="1234243594">
      <w:marLeft w:val="0"/>
      <w:marRight w:val="0"/>
      <w:marTop w:val="0"/>
      <w:marBottom w:val="0"/>
      <w:divBdr>
        <w:top w:val="none" w:sz="0" w:space="0" w:color="auto"/>
        <w:left w:val="none" w:sz="0" w:space="0" w:color="auto"/>
        <w:bottom w:val="none" w:sz="0" w:space="0" w:color="auto"/>
        <w:right w:val="none" w:sz="0" w:space="0" w:color="auto"/>
      </w:divBdr>
    </w:div>
    <w:div w:id="1234243601">
      <w:marLeft w:val="0"/>
      <w:marRight w:val="0"/>
      <w:marTop w:val="0"/>
      <w:marBottom w:val="0"/>
      <w:divBdr>
        <w:top w:val="none" w:sz="0" w:space="0" w:color="auto"/>
        <w:left w:val="none" w:sz="0" w:space="0" w:color="auto"/>
        <w:bottom w:val="none" w:sz="0" w:space="0" w:color="auto"/>
        <w:right w:val="none" w:sz="0" w:space="0" w:color="auto"/>
      </w:divBdr>
    </w:div>
    <w:div w:id="1234243602">
      <w:marLeft w:val="0"/>
      <w:marRight w:val="0"/>
      <w:marTop w:val="0"/>
      <w:marBottom w:val="0"/>
      <w:divBdr>
        <w:top w:val="none" w:sz="0" w:space="0" w:color="auto"/>
        <w:left w:val="none" w:sz="0" w:space="0" w:color="auto"/>
        <w:bottom w:val="none" w:sz="0" w:space="0" w:color="auto"/>
        <w:right w:val="none" w:sz="0" w:space="0" w:color="auto"/>
      </w:divBdr>
    </w:div>
    <w:div w:id="1234243604">
      <w:marLeft w:val="0"/>
      <w:marRight w:val="0"/>
      <w:marTop w:val="0"/>
      <w:marBottom w:val="0"/>
      <w:divBdr>
        <w:top w:val="none" w:sz="0" w:space="0" w:color="auto"/>
        <w:left w:val="none" w:sz="0" w:space="0" w:color="auto"/>
        <w:bottom w:val="none" w:sz="0" w:space="0" w:color="auto"/>
        <w:right w:val="none" w:sz="0" w:space="0" w:color="auto"/>
      </w:divBdr>
    </w:div>
    <w:div w:id="1234243605">
      <w:marLeft w:val="0"/>
      <w:marRight w:val="0"/>
      <w:marTop w:val="0"/>
      <w:marBottom w:val="0"/>
      <w:divBdr>
        <w:top w:val="none" w:sz="0" w:space="0" w:color="auto"/>
        <w:left w:val="none" w:sz="0" w:space="0" w:color="auto"/>
        <w:bottom w:val="none" w:sz="0" w:space="0" w:color="auto"/>
        <w:right w:val="none" w:sz="0" w:space="0" w:color="auto"/>
      </w:divBdr>
    </w:div>
    <w:div w:id="1234243607">
      <w:marLeft w:val="0"/>
      <w:marRight w:val="0"/>
      <w:marTop w:val="0"/>
      <w:marBottom w:val="0"/>
      <w:divBdr>
        <w:top w:val="none" w:sz="0" w:space="0" w:color="auto"/>
        <w:left w:val="none" w:sz="0" w:space="0" w:color="auto"/>
        <w:bottom w:val="none" w:sz="0" w:space="0" w:color="auto"/>
        <w:right w:val="none" w:sz="0" w:space="0" w:color="auto"/>
      </w:divBdr>
    </w:div>
    <w:div w:id="1234243608">
      <w:marLeft w:val="0"/>
      <w:marRight w:val="0"/>
      <w:marTop w:val="0"/>
      <w:marBottom w:val="0"/>
      <w:divBdr>
        <w:top w:val="none" w:sz="0" w:space="0" w:color="auto"/>
        <w:left w:val="none" w:sz="0" w:space="0" w:color="auto"/>
        <w:bottom w:val="none" w:sz="0" w:space="0" w:color="auto"/>
        <w:right w:val="none" w:sz="0" w:space="0" w:color="auto"/>
      </w:divBdr>
    </w:div>
    <w:div w:id="1234243609">
      <w:marLeft w:val="0"/>
      <w:marRight w:val="0"/>
      <w:marTop w:val="0"/>
      <w:marBottom w:val="0"/>
      <w:divBdr>
        <w:top w:val="none" w:sz="0" w:space="0" w:color="auto"/>
        <w:left w:val="none" w:sz="0" w:space="0" w:color="auto"/>
        <w:bottom w:val="none" w:sz="0" w:space="0" w:color="auto"/>
        <w:right w:val="none" w:sz="0" w:space="0" w:color="auto"/>
      </w:divBdr>
    </w:div>
    <w:div w:id="1234243612">
      <w:marLeft w:val="0"/>
      <w:marRight w:val="0"/>
      <w:marTop w:val="0"/>
      <w:marBottom w:val="0"/>
      <w:divBdr>
        <w:top w:val="none" w:sz="0" w:space="0" w:color="auto"/>
        <w:left w:val="none" w:sz="0" w:space="0" w:color="auto"/>
        <w:bottom w:val="none" w:sz="0" w:space="0" w:color="auto"/>
        <w:right w:val="none" w:sz="0" w:space="0" w:color="auto"/>
      </w:divBdr>
    </w:div>
    <w:div w:id="1234243613">
      <w:marLeft w:val="0"/>
      <w:marRight w:val="0"/>
      <w:marTop w:val="0"/>
      <w:marBottom w:val="0"/>
      <w:divBdr>
        <w:top w:val="none" w:sz="0" w:space="0" w:color="auto"/>
        <w:left w:val="none" w:sz="0" w:space="0" w:color="auto"/>
        <w:bottom w:val="none" w:sz="0" w:space="0" w:color="auto"/>
        <w:right w:val="none" w:sz="0" w:space="0" w:color="auto"/>
      </w:divBdr>
    </w:div>
    <w:div w:id="1234243614">
      <w:marLeft w:val="0"/>
      <w:marRight w:val="0"/>
      <w:marTop w:val="0"/>
      <w:marBottom w:val="0"/>
      <w:divBdr>
        <w:top w:val="none" w:sz="0" w:space="0" w:color="auto"/>
        <w:left w:val="none" w:sz="0" w:space="0" w:color="auto"/>
        <w:bottom w:val="none" w:sz="0" w:space="0" w:color="auto"/>
        <w:right w:val="none" w:sz="0" w:space="0" w:color="auto"/>
      </w:divBdr>
    </w:div>
    <w:div w:id="1234243616">
      <w:marLeft w:val="0"/>
      <w:marRight w:val="0"/>
      <w:marTop w:val="0"/>
      <w:marBottom w:val="0"/>
      <w:divBdr>
        <w:top w:val="none" w:sz="0" w:space="0" w:color="auto"/>
        <w:left w:val="none" w:sz="0" w:space="0" w:color="auto"/>
        <w:bottom w:val="none" w:sz="0" w:space="0" w:color="auto"/>
        <w:right w:val="none" w:sz="0" w:space="0" w:color="auto"/>
      </w:divBdr>
    </w:div>
    <w:div w:id="1234243624">
      <w:marLeft w:val="0"/>
      <w:marRight w:val="0"/>
      <w:marTop w:val="0"/>
      <w:marBottom w:val="0"/>
      <w:divBdr>
        <w:top w:val="none" w:sz="0" w:space="0" w:color="auto"/>
        <w:left w:val="none" w:sz="0" w:space="0" w:color="auto"/>
        <w:bottom w:val="none" w:sz="0" w:space="0" w:color="auto"/>
        <w:right w:val="none" w:sz="0" w:space="0" w:color="auto"/>
      </w:divBdr>
      <w:divsChild>
        <w:div w:id="1234243763">
          <w:marLeft w:val="0"/>
          <w:marRight w:val="0"/>
          <w:marTop w:val="0"/>
          <w:marBottom w:val="0"/>
          <w:divBdr>
            <w:top w:val="none" w:sz="0" w:space="0" w:color="auto"/>
            <w:left w:val="none" w:sz="0" w:space="0" w:color="auto"/>
            <w:bottom w:val="none" w:sz="0" w:space="0" w:color="auto"/>
            <w:right w:val="none" w:sz="0" w:space="0" w:color="auto"/>
          </w:divBdr>
          <w:divsChild>
            <w:div w:id="1234243591">
              <w:marLeft w:val="0"/>
              <w:marRight w:val="0"/>
              <w:marTop w:val="0"/>
              <w:marBottom w:val="0"/>
              <w:divBdr>
                <w:top w:val="none" w:sz="0" w:space="0" w:color="auto"/>
                <w:left w:val="none" w:sz="0" w:space="0" w:color="auto"/>
                <w:bottom w:val="none" w:sz="0" w:space="0" w:color="auto"/>
                <w:right w:val="none" w:sz="0" w:space="0" w:color="auto"/>
              </w:divBdr>
              <w:divsChild>
                <w:div w:id="1234243575">
                  <w:marLeft w:val="0"/>
                  <w:marRight w:val="0"/>
                  <w:marTop w:val="300"/>
                  <w:marBottom w:val="0"/>
                  <w:divBdr>
                    <w:top w:val="single" w:sz="6" w:space="0" w:color="CCCCCC"/>
                    <w:left w:val="none" w:sz="0" w:space="0" w:color="auto"/>
                    <w:bottom w:val="none" w:sz="0" w:space="0" w:color="auto"/>
                    <w:right w:val="none" w:sz="0" w:space="0" w:color="auto"/>
                  </w:divBdr>
                  <w:divsChild>
                    <w:div w:id="1234243803">
                      <w:marLeft w:val="390"/>
                      <w:marRight w:val="300"/>
                      <w:marTop w:val="150"/>
                      <w:marBottom w:val="300"/>
                      <w:divBdr>
                        <w:top w:val="none" w:sz="0" w:space="0" w:color="auto"/>
                        <w:left w:val="none" w:sz="0" w:space="0" w:color="auto"/>
                        <w:bottom w:val="none" w:sz="0" w:space="0" w:color="auto"/>
                        <w:right w:val="none" w:sz="0" w:space="0" w:color="auto"/>
                      </w:divBdr>
                      <w:divsChild>
                        <w:div w:id="1234243745">
                          <w:marLeft w:val="0"/>
                          <w:marRight w:val="0"/>
                          <w:marTop w:val="60"/>
                          <w:marBottom w:val="105"/>
                          <w:divBdr>
                            <w:top w:val="none" w:sz="0" w:space="0" w:color="auto"/>
                            <w:left w:val="none" w:sz="0" w:space="0" w:color="auto"/>
                            <w:bottom w:val="none" w:sz="0" w:space="0" w:color="auto"/>
                            <w:right w:val="none" w:sz="0" w:space="0" w:color="auto"/>
                          </w:divBdr>
                          <w:divsChild>
                            <w:div w:id="1234243682">
                              <w:marLeft w:val="0"/>
                              <w:marRight w:val="0"/>
                              <w:marTop w:val="0"/>
                              <w:marBottom w:val="0"/>
                              <w:divBdr>
                                <w:top w:val="none" w:sz="0" w:space="0" w:color="auto"/>
                                <w:left w:val="none" w:sz="0" w:space="0" w:color="auto"/>
                                <w:bottom w:val="none" w:sz="0" w:space="0" w:color="auto"/>
                                <w:right w:val="none" w:sz="0" w:space="0" w:color="auto"/>
                              </w:divBdr>
                              <w:divsChild>
                                <w:div w:id="1234243546">
                                  <w:marLeft w:val="0"/>
                                  <w:marRight w:val="0"/>
                                  <w:marTop w:val="0"/>
                                  <w:marBottom w:val="0"/>
                                  <w:divBdr>
                                    <w:top w:val="none" w:sz="0" w:space="0" w:color="auto"/>
                                    <w:left w:val="none" w:sz="0" w:space="0" w:color="auto"/>
                                    <w:bottom w:val="none" w:sz="0" w:space="0" w:color="auto"/>
                                    <w:right w:val="none" w:sz="0" w:space="0" w:color="auto"/>
                                  </w:divBdr>
                                  <w:divsChild>
                                    <w:div w:id="1234243547">
                                      <w:marLeft w:val="0"/>
                                      <w:marRight w:val="0"/>
                                      <w:marTop w:val="0"/>
                                      <w:marBottom w:val="0"/>
                                      <w:divBdr>
                                        <w:top w:val="none" w:sz="0" w:space="0" w:color="auto"/>
                                        <w:left w:val="none" w:sz="0" w:space="0" w:color="auto"/>
                                        <w:bottom w:val="none" w:sz="0" w:space="0" w:color="auto"/>
                                        <w:right w:val="none" w:sz="0" w:space="0" w:color="auto"/>
                                      </w:divBdr>
                                    </w:div>
                                    <w:div w:id="1234243619">
                                      <w:marLeft w:val="0"/>
                                      <w:marRight w:val="0"/>
                                      <w:marTop w:val="0"/>
                                      <w:marBottom w:val="0"/>
                                      <w:divBdr>
                                        <w:top w:val="none" w:sz="0" w:space="0" w:color="auto"/>
                                        <w:left w:val="none" w:sz="0" w:space="0" w:color="auto"/>
                                        <w:bottom w:val="none" w:sz="0" w:space="0" w:color="auto"/>
                                        <w:right w:val="none" w:sz="0" w:space="0" w:color="auto"/>
                                      </w:divBdr>
                                    </w:div>
                                    <w:div w:id="1234243758">
                                      <w:marLeft w:val="0"/>
                                      <w:marRight w:val="0"/>
                                      <w:marTop w:val="0"/>
                                      <w:marBottom w:val="0"/>
                                      <w:divBdr>
                                        <w:top w:val="none" w:sz="0" w:space="0" w:color="auto"/>
                                        <w:left w:val="none" w:sz="0" w:space="0" w:color="auto"/>
                                        <w:bottom w:val="none" w:sz="0" w:space="0" w:color="auto"/>
                                        <w:right w:val="none" w:sz="0" w:space="0" w:color="auto"/>
                                      </w:divBdr>
                                    </w:div>
                                    <w:div w:id="12342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3628">
      <w:marLeft w:val="0"/>
      <w:marRight w:val="0"/>
      <w:marTop w:val="0"/>
      <w:marBottom w:val="0"/>
      <w:divBdr>
        <w:top w:val="none" w:sz="0" w:space="0" w:color="auto"/>
        <w:left w:val="none" w:sz="0" w:space="0" w:color="auto"/>
        <w:bottom w:val="none" w:sz="0" w:space="0" w:color="auto"/>
        <w:right w:val="none" w:sz="0" w:space="0" w:color="auto"/>
      </w:divBdr>
      <w:divsChild>
        <w:div w:id="1234243777">
          <w:marLeft w:val="0"/>
          <w:marRight w:val="0"/>
          <w:marTop w:val="0"/>
          <w:marBottom w:val="0"/>
          <w:divBdr>
            <w:top w:val="none" w:sz="0" w:space="0" w:color="auto"/>
            <w:left w:val="none" w:sz="0" w:space="0" w:color="auto"/>
            <w:bottom w:val="none" w:sz="0" w:space="0" w:color="auto"/>
            <w:right w:val="none" w:sz="0" w:space="0" w:color="auto"/>
          </w:divBdr>
          <w:divsChild>
            <w:div w:id="1234243481">
              <w:marLeft w:val="0"/>
              <w:marRight w:val="0"/>
              <w:marTop w:val="125"/>
              <w:marBottom w:val="125"/>
              <w:divBdr>
                <w:top w:val="none" w:sz="0" w:space="0" w:color="auto"/>
                <w:left w:val="none" w:sz="0" w:space="0" w:color="auto"/>
                <w:bottom w:val="none" w:sz="0" w:space="0" w:color="auto"/>
                <w:right w:val="none" w:sz="0" w:space="0" w:color="auto"/>
              </w:divBdr>
              <w:divsChild>
                <w:div w:id="1234243595">
                  <w:marLeft w:val="0"/>
                  <w:marRight w:val="0"/>
                  <w:marTop w:val="0"/>
                  <w:marBottom w:val="0"/>
                  <w:divBdr>
                    <w:top w:val="dashed" w:sz="4" w:space="6" w:color="C0C0C0"/>
                    <w:left w:val="none" w:sz="0" w:space="0" w:color="auto"/>
                    <w:bottom w:val="none" w:sz="0" w:space="0" w:color="auto"/>
                    <w:right w:val="none" w:sz="0" w:space="0" w:color="auto"/>
                  </w:divBdr>
                  <w:divsChild>
                    <w:div w:id="1234243536">
                      <w:marLeft w:val="0"/>
                      <w:marRight w:val="0"/>
                      <w:marTop w:val="0"/>
                      <w:marBottom w:val="0"/>
                      <w:divBdr>
                        <w:top w:val="none" w:sz="0" w:space="0" w:color="auto"/>
                        <w:left w:val="none" w:sz="0" w:space="0" w:color="auto"/>
                        <w:bottom w:val="none" w:sz="0" w:space="0" w:color="auto"/>
                        <w:right w:val="none" w:sz="0" w:space="0" w:color="auto"/>
                      </w:divBdr>
                      <w:divsChild>
                        <w:div w:id="1234243728">
                          <w:marLeft w:val="0"/>
                          <w:marRight w:val="0"/>
                          <w:marTop w:val="0"/>
                          <w:marBottom w:val="0"/>
                          <w:divBdr>
                            <w:top w:val="none" w:sz="0" w:space="0" w:color="auto"/>
                            <w:left w:val="none" w:sz="0" w:space="0" w:color="auto"/>
                            <w:bottom w:val="none" w:sz="0" w:space="0" w:color="auto"/>
                            <w:right w:val="none" w:sz="0" w:space="0" w:color="auto"/>
                          </w:divBdr>
                          <w:divsChild>
                            <w:div w:id="1234243526">
                              <w:marLeft w:val="0"/>
                              <w:marRight w:val="0"/>
                              <w:marTop w:val="0"/>
                              <w:marBottom w:val="0"/>
                              <w:divBdr>
                                <w:top w:val="none" w:sz="0" w:space="0" w:color="auto"/>
                                <w:left w:val="none" w:sz="0" w:space="0" w:color="auto"/>
                                <w:bottom w:val="none" w:sz="0" w:space="0" w:color="auto"/>
                                <w:right w:val="none" w:sz="0" w:space="0" w:color="auto"/>
                              </w:divBdr>
                              <w:divsChild>
                                <w:div w:id="12342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630">
      <w:marLeft w:val="0"/>
      <w:marRight w:val="0"/>
      <w:marTop w:val="0"/>
      <w:marBottom w:val="0"/>
      <w:divBdr>
        <w:top w:val="none" w:sz="0" w:space="0" w:color="auto"/>
        <w:left w:val="none" w:sz="0" w:space="0" w:color="auto"/>
        <w:bottom w:val="none" w:sz="0" w:space="0" w:color="auto"/>
        <w:right w:val="none" w:sz="0" w:space="0" w:color="auto"/>
      </w:divBdr>
    </w:div>
    <w:div w:id="1234243633">
      <w:marLeft w:val="0"/>
      <w:marRight w:val="0"/>
      <w:marTop w:val="0"/>
      <w:marBottom w:val="0"/>
      <w:divBdr>
        <w:top w:val="none" w:sz="0" w:space="0" w:color="auto"/>
        <w:left w:val="none" w:sz="0" w:space="0" w:color="auto"/>
        <w:bottom w:val="none" w:sz="0" w:space="0" w:color="auto"/>
        <w:right w:val="none" w:sz="0" w:space="0" w:color="auto"/>
      </w:divBdr>
    </w:div>
    <w:div w:id="1234243634">
      <w:marLeft w:val="0"/>
      <w:marRight w:val="0"/>
      <w:marTop w:val="0"/>
      <w:marBottom w:val="0"/>
      <w:divBdr>
        <w:top w:val="none" w:sz="0" w:space="0" w:color="auto"/>
        <w:left w:val="none" w:sz="0" w:space="0" w:color="auto"/>
        <w:bottom w:val="none" w:sz="0" w:space="0" w:color="auto"/>
        <w:right w:val="none" w:sz="0" w:space="0" w:color="auto"/>
      </w:divBdr>
    </w:div>
    <w:div w:id="1234243635">
      <w:marLeft w:val="0"/>
      <w:marRight w:val="0"/>
      <w:marTop w:val="0"/>
      <w:marBottom w:val="0"/>
      <w:divBdr>
        <w:top w:val="none" w:sz="0" w:space="0" w:color="auto"/>
        <w:left w:val="none" w:sz="0" w:space="0" w:color="auto"/>
        <w:bottom w:val="none" w:sz="0" w:space="0" w:color="auto"/>
        <w:right w:val="none" w:sz="0" w:space="0" w:color="auto"/>
      </w:divBdr>
    </w:div>
    <w:div w:id="1234243636">
      <w:marLeft w:val="0"/>
      <w:marRight w:val="0"/>
      <w:marTop w:val="0"/>
      <w:marBottom w:val="0"/>
      <w:divBdr>
        <w:top w:val="none" w:sz="0" w:space="0" w:color="auto"/>
        <w:left w:val="none" w:sz="0" w:space="0" w:color="auto"/>
        <w:bottom w:val="none" w:sz="0" w:space="0" w:color="auto"/>
        <w:right w:val="none" w:sz="0" w:space="0" w:color="auto"/>
      </w:divBdr>
    </w:div>
    <w:div w:id="1234243638">
      <w:marLeft w:val="0"/>
      <w:marRight w:val="0"/>
      <w:marTop w:val="0"/>
      <w:marBottom w:val="0"/>
      <w:divBdr>
        <w:top w:val="none" w:sz="0" w:space="0" w:color="auto"/>
        <w:left w:val="none" w:sz="0" w:space="0" w:color="auto"/>
        <w:bottom w:val="none" w:sz="0" w:space="0" w:color="auto"/>
        <w:right w:val="none" w:sz="0" w:space="0" w:color="auto"/>
      </w:divBdr>
    </w:div>
    <w:div w:id="1234243640">
      <w:marLeft w:val="0"/>
      <w:marRight w:val="0"/>
      <w:marTop w:val="0"/>
      <w:marBottom w:val="0"/>
      <w:divBdr>
        <w:top w:val="none" w:sz="0" w:space="0" w:color="auto"/>
        <w:left w:val="none" w:sz="0" w:space="0" w:color="auto"/>
        <w:bottom w:val="none" w:sz="0" w:space="0" w:color="auto"/>
        <w:right w:val="none" w:sz="0" w:space="0" w:color="auto"/>
      </w:divBdr>
    </w:div>
    <w:div w:id="1234243646">
      <w:marLeft w:val="0"/>
      <w:marRight w:val="0"/>
      <w:marTop w:val="0"/>
      <w:marBottom w:val="0"/>
      <w:divBdr>
        <w:top w:val="none" w:sz="0" w:space="0" w:color="auto"/>
        <w:left w:val="none" w:sz="0" w:space="0" w:color="auto"/>
        <w:bottom w:val="none" w:sz="0" w:space="0" w:color="auto"/>
        <w:right w:val="none" w:sz="0" w:space="0" w:color="auto"/>
      </w:divBdr>
    </w:div>
    <w:div w:id="1234243652">
      <w:marLeft w:val="150"/>
      <w:marRight w:val="0"/>
      <w:marTop w:val="0"/>
      <w:marBottom w:val="0"/>
      <w:divBdr>
        <w:top w:val="none" w:sz="0" w:space="0" w:color="auto"/>
        <w:left w:val="none" w:sz="0" w:space="0" w:color="auto"/>
        <w:bottom w:val="none" w:sz="0" w:space="0" w:color="auto"/>
        <w:right w:val="none" w:sz="0" w:space="0" w:color="auto"/>
      </w:divBdr>
      <w:divsChild>
        <w:div w:id="1234243811">
          <w:marLeft w:val="0"/>
          <w:marRight w:val="0"/>
          <w:marTop w:val="0"/>
          <w:marBottom w:val="0"/>
          <w:divBdr>
            <w:top w:val="none" w:sz="0" w:space="0" w:color="auto"/>
            <w:left w:val="none" w:sz="0" w:space="0" w:color="auto"/>
            <w:bottom w:val="none" w:sz="0" w:space="0" w:color="auto"/>
            <w:right w:val="none" w:sz="0" w:space="0" w:color="auto"/>
          </w:divBdr>
          <w:divsChild>
            <w:div w:id="1234243486">
              <w:marLeft w:val="0"/>
              <w:marRight w:val="0"/>
              <w:marTop w:val="225"/>
              <w:marBottom w:val="0"/>
              <w:divBdr>
                <w:top w:val="none" w:sz="0" w:space="0" w:color="auto"/>
                <w:left w:val="none" w:sz="0" w:space="0" w:color="auto"/>
                <w:bottom w:val="none" w:sz="0" w:space="0" w:color="auto"/>
                <w:right w:val="none" w:sz="0" w:space="0" w:color="auto"/>
              </w:divBdr>
              <w:divsChild>
                <w:div w:id="1234243620">
                  <w:marLeft w:val="0"/>
                  <w:marRight w:val="0"/>
                  <w:marTop w:val="0"/>
                  <w:marBottom w:val="0"/>
                  <w:divBdr>
                    <w:top w:val="single" w:sz="6" w:space="0" w:color="888888"/>
                    <w:left w:val="single" w:sz="6" w:space="0" w:color="888888"/>
                    <w:bottom w:val="single" w:sz="6" w:space="0" w:color="888888"/>
                    <w:right w:val="single" w:sz="6" w:space="0" w:color="888888"/>
                  </w:divBdr>
                  <w:divsChild>
                    <w:div w:id="1234243603">
                      <w:marLeft w:val="0"/>
                      <w:marRight w:val="0"/>
                      <w:marTop w:val="0"/>
                      <w:marBottom w:val="0"/>
                      <w:divBdr>
                        <w:top w:val="none" w:sz="0" w:space="0" w:color="auto"/>
                        <w:left w:val="none" w:sz="0" w:space="0" w:color="auto"/>
                        <w:bottom w:val="none" w:sz="0" w:space="0" w:color="auto"/>
                        <w:right w:val="none" w:sz="0" w:space="0" w:color="auto"/>
                      </w:divBdr>
                      <w:divsChild>
                        <w:div w:id="1234243600">
                          <w:marLeft w:val="0"/>
                          <w:marRight w:val="0"/>
                          <w:marTop w:val="0"/>
                          <w:marBottom w:val="0"/>
                          <w:divBdr>
                            <w:top w:val="none" w:sz="0" w:space="0" w:color="auto"/>
                            <w:left w:val="none" w:sz="0" w:space="0" w:color="auto"/>
                            <w:bottom w:val="none" w:sz="0" w:space="0" w:color="auto"/>
                            <w:right w:val="none" w:sz="0" w:space="0" w:color="auto"/>
                          </w:divBdr>
                          <w:divsChild>
                            <w:div w:id="1234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3653">
      <w:marLeft w:val="0"/>
      <w:marRight w:val="0"/>
      <w:marTop w:val="0"/>
      <w:marBottom w:val="0"/>
      <w:divBdr>
        <w:top w:val="none" w:sz="0" w:space="0" w:color="auto"/>
        <w:left w:val="none" w:sz="0" w:space="0" w:color="auto"/>
        <w:bottom w:val="none" w:sz="0" w:space="0" w:color="auto"/>
        <w:right w:val="none" w:sz="0" w:space="0" w:color="auto"/>
      </w:divBdr>
      <w:divsChild>
        <w:div w:id="1234243713">
          <w:marLeft w:val="0"/>
          <w:marRight w:val="0"/>
          <w:marTop w:val="0"/>
          <w:marBottom w:val="0"/>
          <w:divBdr>
            <w:top w:val="none" w:sz="0" w:space="0" w:color="auto"/>
            <w:left w:val="none" w:sz="0" w:space="0" w:color="auto"/>
            <w:bottom w:val="none" w:sz="0" w:space="0" w:color="auto"/>
            <w:right w:val="none" w:sz="0" w:space="0" w:color="auto"/>
          </w:divBdr>
          <w:divsChild>
            <w:div w:id="1234243610">
              <w:marLeft w:val="0"/>
              <w:marRight w:val="0"/>
              <w:marTop w:val="0"/>
              <w:marBottom w:val="0"/>
              <w:divBdr>
                <w:top w:val="none" w:sz="0" w:space="0" w:color="auto"/>
                <w:left w:val="none" w:sz="0" w:space="0" w:color="auto"/>
                <w:bottom w:val="none" w:sz="0" w:space="0" w:color="auto"/>
                <w:right w:val="none" w:sz="0" w:space="0" w:color="auto"/>
              </w:divBdr>
              <w:divsChild>
                <w:div w:id="1234243766">
                  <w:marLeft w:val="0"/>
                  <w:marRight w:val="0"/>
                  <w:marTop w:val="300"/>
                  <w:marBottom w:val="0"/>
                  <w:divBdr>
                    <w:top w:val="single" w:sz="6" w:space="0" w:color="CCCCCC"/>
                    <w:left w:val="none" w:sz="0" w:space="0" w:color="auto"/>
                    <w:bottom w:val="none" w:sz="0" w:space="0" w:color="auto"/>
                    <w:right w:val="none" w:sz="0" w:space="0" w:color="auto"/>
                  </w:divBdr>
                  <w:divsChild>
                    <w:div w:id="1234243651">
                      <w:marLeft w:val="390"/>
                      <w:marRight w:val="300"/>
                      <w:marTop w:val="150"/>
                      <w:marBottom w:val="300"/>
                      <w:divBdr>
                        <w:top w:val="none" w:sz="0" w:space="0" w:color="auto"/>
                        <w:left w:val="none" w:sz="0" w:space="0" w:color="auto"/>
                        <w:bottom w:val="none" w:sz="0" w:space="0" w:color="auto"/>
                        <w:right w:val="none" w:sz="0" w:space="0" w:color="auto"/>
                      </w:divBdr>
                      <w:divsChild>
                        <w:div w:id="1234243722">
                          <w:marLeft w:val="0"/>
                          <w:marRight w:val="0"/>
                          <w:marTop w:val="60"/>
                          <w:marBottom w:val="105"/>
                          <w:divBdr>
                            <w:top w:val="none" w:sz="0" w:space="0" w:color="auto"/>
                            <w:left w:val="none" w:sz="0" w:space="0" w:color="auto"/>
                            <w:bottom w:val="none" w:sz="0" w:space="0" w:color="auto"/>
                            <w:right w:val="none" w:sz="0" w:space="0" w:color="auto"/>
                          </w:divBdr>
                          <w:divsChild>
                            <w:div w:id="1234243662">
                              <w:marLeft w:val="0"/>
                              <w:marRight w:val="0"/>
                              <w:marTop w:val="0"/>
                              <w:marBottom w:val="0"/>
                              <w:divBdr>
                                <w:top w:val="none" w:sz="0" w:space="0" w:color="auto"/>
                                <w:left w:val="none" w:sz="0" w:space="0" w:color="auto"/>
                                <w:bottom w:val="none" w:sz="0" w:space="0" w:color="auto"/>
                                <w:right w:val="none" w:sz="0" w:space="0" w:color="auto"/>
                              </w:divBdr>
                              <w:divsChild>
                                <w:div w:id="12342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655">
      <w:marLeft w:val="0"/>
      <w:marRight w:val="0"/>
      <w:marTop w:val="0"/>
      <w:marBottom w:val="0"/>
      <w:divBdr>
        <w:top w:val="none" w:sz="0" w:space="0" w:color="auto"/>
        <w:left w:val="none" w:sz="0" w:space="0" w:color="auto"/>
        <w:bottom w:val="none" w:sz="0" w:space="0" w:color="auto"/>
        <w:right w:val="none" w:sz="0" w:space="0" w:color="auto"/>
      </w:divBdr>
    </w:div>
    <w:div w:id="1234243656">
      <w:marLeft w:val="0"/>
      <w:marRight w:val="0"/>
      <w:marTop w:val="0"/>
      <w:marBottom w:val="0"/>
      <w:divBdr>
        <w:top w:val="none" w:sz="0" w:space="0" w:color="auto"/>
        <w:left w:val="none" w:sz="0" w:space="0" w:color="auto"/>
        <w:bottom w:val="none" w:sz="0" w:space="0" w:color="auto"/>
        <w:right w:val="none" w:sz="0" w:space="0" w:color="auto"/>
      </w:divBdr>
    </w:div>
    <w:div w:id="1234243657">
      <w:marLeft w:val="0"/>
      <w:marRight w:val="0"/>
      <w:marTop w:val="0"/>
      <w:marBottom w:val="0"/>
      <w:divBdr>
        <w:top w:val="none" w:sz="0" w:space="0" w:color="auto"/>
        <w:left w:val="none" w:sz="0" w:space="0" w:color="auto"/>
        <w:bottom w:val="none" w:sz="0" w:space="0" w:color="auto"/>
        <w:right w:val="none" w:sz="0" w:space="0" w:color="auto"/>
      </w:divBdr>
      <w:divsChild>
        <w:div w:id="1234243541">
          <w:marLeft w:val="0"/>
          <w:marRight w:val="0"/>
          <w:marTop w:val="0"/>
          <w:marBottom w:val="0"/>
          <w:divBdr>
            <w:top w:val="none" w:sz="0" w:space="0" w:color="auto"/>
            <w:left w:val="none" w:sz="0" w:space="0" w:color="auto"/>
            <w:bottom w:val="none" w:sz="0" w:space="0" w:color="auto"/>
            <w:right w:val="none" w:sz="0" w:space="0" w:color="auto"/>
          </w:divBdr>
          <w:divsChild>
            <w:div w:id="1234243531">
              <w:marLeft w:val="0"/>
              <w:marRight w:val="0"/>
              <w:marTop w:val="0"/>
              <w:marBottom w:val="0"/>
              <w:divBdr>
                <w:top w:val="none" w:sz="0" w:space="0" w:color="auto"/>
                <w:left w:val="none" w:sz="0" w:space="0" w:color="auto"/>
                <w:bottom w:val="none" w:sz="0" w:space="0" w:color="auto"/>
                <w:right w:val="none" w:sz="0" w:space="0" w:color="auto"/>
              </w:divBdr>
              <w:divsChild>
                <w:div w:id="1234243508">
                  <w:marLeft w:val="0"/>
                  <w:marRight w:val="0"/>
                  <w:marTop w:val="250"/>
                  <w:marBottom w:val="0"/>
                  <w:divBdr>
                    <w:top w:val="single" w:sz="4" w:space="0" w:color="CCCCCC"/>
                    <w:left w:val="none" w:sz="0" w:space="0" w:color="auto"/>
                    <w:bottom w:val="none" w:sz="0" w:space="0" w:color="auto"/>
                    <w:right w:val="none" w:sz="0" w:space="0" w:color="auto"/>
                  </w:divBdr>
                  <w:divsChild>
                    <w:div w:id="1234243565">
                      <w:marLeft w:val="326"/>
                      <w:marRight w:val="250"/>
                      <w:marTop w:val="125"/>
                      <w:marBottom w:val="250"/>
                      <w:divBdr>
                        <w:top w:val="none" w:sz="0" w:space="0" w:color="auto"/>
                        <w:left w:val="none" w:sz="0" w:space="0" w:color="auto"/>
                        <w:bottom w:val="none" w:sz="0" w:space="0" w:color="auto"/>
                        <w:right w:val="none" w:sz="0" w:space="0" w:color="auto"/>
                      </w:divBdr>
                      <w:divsChild>
                        <w:div w:id="1234243700">
                          <w:marLeft w:val="0"/>
                          <w:marRight w:val="0"/>
                          <w:marTop w:val="50"/>
                          <w:marBottom w:val="88"/>
                          <w:divBdr>
                            <w:top w:val="none" w:sz="0" w:space="0" w:color="auto"/>
                            <w:left w:val="none" w:sz="0" w:space="0" w:color="auto"/>
                            <w:bottom w:val="none" w:sz="0" w:space="0" w:color="auto"/>
                            <w:right w:val="none" w:sz="0" w:space="0" w:color="auto"/>
                          </w:divBdr>
                          <w:divsChild>
                            <w:div w:id="1234243665">
                              <w:marLeft w:val="0"/>
                              <w:marRight w:val="0"/>
                              <w:marTop w:val="0"/>
                              <w:marBottom w:val="0"/>
                              <w:divBdr>
                                <w:top w:val="none" w:sz="0" w:space="0" w:color="auto"/>
                                <w:left w:val="none" w:sz="0" w:space="0" w:color="auto"/>
                                <w:bottom w:val="none" w:sz="0" w:space="0" w:color="auto"/>
                                <w:right w:val="none" w:sz="0" w:space="0" w:color="auto"/>
                              </w:divBdr>
                              <w:divsChild>
                                <w:div w:id="12342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658">
      <w:marLeft w:val="0"/>
      <w:marRight w:val="0"/>
      <w:marTop w:val="0"/>
      <w:marBottom w:val="0"/>
      <w:divBdr>
        <w:top w:val="none" w:sz="0" w:space="0" w:color="auto"/>
        <w:left w:val="none" w:sz="0" w:space="0" w:color="auto"/>
        <w:bottom w:val="none" w:sz="0" w:space="0" w:color="auto"/>
        <w:right w:val="none" w:sz="0" w:space="0" w:color="auto"/>
      </w:divBdr>
      <w:divsChild>
        <w:div w:id="1234243773">
          <w:marLeft w:val="0"/>
          <w:marRight w:val="0"/>
          <w:marTop w:val="0"/>
          <w:marBottom w:val="0"/>
          <w:divBdr>
            <w:top w:val="none" w:sz="0" w:space="0" w:color="auto"/>
            <w:left w:val="none" w:sz="0" w:space="0" w:color="auto"/>
            <w:bottom w:val="none" w:sz="0" w:space="0" w:color="auto"/>
            <w:right w:val="none" w:sz="0" w:space="0" w:color="auto"/>
          </w:divBdr>
          <w:divsChild>
            <w:div w:id="1234243667">
              <w:marLeft w:val="0"/>
              <w:marRight w:val="0"/>
              <w:marTop w:val="0"/>
              <w:marBottom w:val="0"/>
              <w:divBdr>
                <w:top w:val="none" w:sz="0" w:space="0" w:color="auto"/>
                <w:left w:val="none" w:sz="0" w:space="0" w:color="auto"/>
                <w:bottom w:val="none" w:sz="0" w:space="0" w:color="auto"/>
                <w:right w:val="none" w:sz="0" w:space="0" w:color="auto"/>
              </w:divBdr>
              <w:divsChild>
                <w:div w:id="1234243589">
                  <w:marLeft w:val="0"/>
                  <w:marRight w:val="0"/>
                  <w:marTop w:val="250"/>
                  <w:marBottom w:val="0"/>
                  <w:divBdr>
                    <w:top w:val="single" w:sz="4" w:space="0" w:color="CCCCCC"/>
                    <w:left w:val="none" w:sz="0" w:space="0" w:color="auto"/>
                    <w:bottom w:val="none" w:sz="0" w:space="0" w:color="auto"/>
                    <w:right w:val="none" w:sz="0" w:space="0" w:color="auto"/>
                  </w:divBdr>
                  <w:divsChild>
                    <w:div w:id="1234243747">
                      <w:marLeft w:val="326"/>
                      <w:marRight w:val="250"/>
                      <w:marTop w:val="125"/>
                      <w:marBottom w:val="250"/>
                      <w:divBdr>
                        <w:top w:val="none" w:sz="0" w:space="0" w:color="auto"/>
                        <w:left w:val="none" w:sz="0" w:space="0" w:color="auto"/>
                        <w:bottom w:val="none" w:sz="0" w:space="0" w:color="auto"/>
                        <w:right w:val="none" w:sz="0" w:space="0" w:color="auto"/>
                      </w:divBdr>
                      <w:divsChild>
                        <w:div w:id="1234243573">
                          <w:marLeft w:val="0"/>
                          <w:marRight w:val="0"/>
                          <w:marTop w:val="50"/>
                          <w:marBottom w:val="88"/>
                          <w:divBdr>
                            <w:top w:val="none" w:sz="0" w:space="0" w:color="auto"/>
                            <w:left w:val="none" w:sz="0" w:space="0" w:color="auto"/>
                            <w:bottom w:val="none" w:sz="0" w:space="0" w:color="auto"/>
                            <w:right w:val="none" w:sz="0" w:space="0" w:color="auto"/>
                          </w:divBdr>
                          <w:divsChild>
                            <w:div w:id="1234243599">
                              <w:marLeft w:val="0"/>
                              <w:marRight w:val="0"/>
                              <w:marTop w:val="0"/>
                              <w:marBottom w:val="0"/>
                              <w:divBdr>
                                <w:top w:val="none" w:sz="0" w:space="0" w:color="auto"/>
                                <w:left w:val="none" w:sz="0" w:space="0" w:color="auto"/>
                                <w:bottom w:val="none" w:sz="0" w:space="0" w:color="auto"/>
                                <w:right w:val="none" w:sz="0" w:space="0" w:color="auto"/>
                              </w:divBdr>
                              <w:divsChild>
                                <w:div w:id="12342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661">
      <w:marLeft w:val="0"/>
      <w:marRight w:val="0"/>
      <w:marTop w:val="0"/>
      <w:marBottom w:val="0"/>
      <w:divBdr>
        <w:top w:val="none" w:sz="0" w:space="0" w:color="auto"/>
        <w:left w:val="none" w:sz="0" w:space="0" w:color="auto"/>
        <w:bottom w:val="none" w:sz="0" w:space="0" w:color="auto"/>
        <w:right w:val="none" w:sz="0" w:space="0" w:color="auto"/>
      </w:divBdr>
    </w:div>
    <w:div w:id="1234243663">
      <w:marLeft w:val="0"/>
      <w:marRight w:val="0"/>
      <w:marTop w:val="0"/>
      <w:marBottom w:val="0"/>
      <w:divBdr>
        <w:top w:val="none" w:sz="0" w:space="0" w:color="auto"/>
        <w:left w:val="none" w:sz="0" w:space="0" w:color="auto"/>
        <w:bottom w:val="none" w:sz="0" w:space="0" w:color="auto"/>
        <w:right w:val="none" w:sz="0" w:space="0" w:color="auto"/>
      </w:divBdr>
    </w:div>
    <w:div w:id="1234243664">
      <w:marLeft w:val="0"/>
      <w:marRight w:val="0"/>
      <w:marTop w:val="0"/>
      <w:marBottom w:val="0"/>
      <w:divBdr>
        <w:top w:val="none" w:sz="0" w:space="0" w:color="auto"/>
        <w:left w:val="none" w:sz="0" w:space="0" w:color="auto"/>
        <w:bottom w:val="none" w:sz="0" w:space="0" w:color="auto"/>
        <w:right w:val="none" w:sz="0" w:space="0" w:color="auto"/>
      </w:divBdr>
    </w:div>
    <w:div w:id="1234243668">
      <w:marLeft w:val="0"/>
      <w:marRight w:val="0"/>
      <w:marTop w:val="0"/>
      <w:marBottom w:val="0"/>
      <w:divBdr>
        <w:top w:val="none" w:sz="0" w:space="0" w:color="auto"/>
        <w:left w:val="none" w:sz="0" w:space="0" w:color="auto"/>
        <w:bottom w:val="none" w:sz="0" w:space="0" w:color="auto"/>
        <w:right w:val="none" w:sz="0" w:space="0" w:color="auto"/>
      </w:divBdr>
    </w:div>
    <w:div w:id="1234243669">
      <w:marLeft w:val="0"/>
      <w:marRight w:val="0"/>
      <w:marTop w:val="0"/>
      <w:marBottom w:val="0"/>
      <w:divBdr>
        <w:top w:val="none" w:sz="0" w:space="0" w:color="auto"/>
        <w:left w:val="none" w:sz="0" w:space="0" w:color="auto"/>
        <w:bottom w:val="none" w:sz="0" w:space="0" w:color="auto"/>
        <w:right w:val="none" w:sz="0" w:space="0" w:color="auto"/>
      </w:divBdr>
    </w:div>
    <w:div w:id="1234243670">
      <w:marLeft w:val="0"/>
      <w:marRight w:val="0"/>
      <w:marTop w:val="0"/>
      <w:marBottom w:val="0"/>
      <w:divBdr>
        <w:top w:val="none" w:sz="0" w:space="0" w:color="auto"/>
        <w:left w:val="none" w:sz="0" w:space="0" w:color="auto"/>
        <w:bottom w:val="none" w:sz="0" w:space="0" w:color="auto"/>
        <w:right w:val="none" w:sz="0" w:space="0" w:color="auto"/>
      </w:divBdr>
    </w:div>
    <w:div w:id="1234243671">
      <w:marLeft w:val="0"/>
      <w:marRight w:val="0"/>
      <w:marTop w:val="0"/>
      <w:marBottom w:val="0"/>
      <w:divBdr>
        <w:top w:val="none" w:sz="0" w:space="0" w:color="auto"/>
        <w:left w:val="none" w:sz="0" w:space="0" w:color="auto"/>
        <w:bottom w:val="none" w:sz="0" w:space="0" w:color="auto"/>
        <w:right w:val="none" w:sz="0" w:space="0" w:color="auto"/>
      </w:divBdr>
    </w:div>
    <w:div w:id="1234243672">
      <w:marLeft w:val="0"/>
      <w:marRight w:val="0"/>
      <w:marTop w:val="0"/>
      <w:marBottom w:val="0"/>
      <w:divBdr>
        <w:top w:val="none" w:sz="0" w:space="0" w:color="auto"/>
        <w:left w:val="none" w:sz="0" w:space="0" w:color="auto"/>
        <w:bottom w:val="none" w:sz="0" w:space="0" w:color="auto"/>
        <w:right w:val="none" w:sz="0" w:space="0" w:color="auto"/>
      </w:divBdr>
    </w:div>
    <w:div w:id="1234243677">
      <w:marLeft w:val="0"/>
      <w:marRight w:val="0"/>
      <w:marTop w:val="0"/>
      <w:marBottom w:val="0"/>
      <w:divBdr>
        <w:top w:val="none" w:sz="0" w:space="0" w:color="auto"/>
        <w:left w:val="none" w:sz="0" w:space="0" w:color="auto"/>
        <w:bottom w:val="none" w:sz="0" w:space="0" w:color="auto"/>
        <w:right w:val="none" w:sz="0" w:space="0" w:color="auto"/>
      </w:divBdr>
      <w:divsChild>
        <w:div w:id="1234243772">
          <w:marLeft w:val="0"/>
          <w:marRight w:val="0"/>
          <w:marTop w:val="0"/>
          <w:marBottom w:val="0"/>
          <w:divBdr>
            <w:top w:val="none" w:sz="0" w:space="0" w:color="auto"/>
            <w:left w:val="none" w:sz="0" w:space="0" w:color="auto"/>
            <w:bottom w:val="none" w:sz="0" w:space="0" w:color="auto"/>
            <w:right w:val="none" w:sz="0" w:space="0" w:color="auto"/>
          </w:divBdr>
          <w:divsChild>
            <w:div w:id="1234243741">
              <w:marLeft w:val="0"/>
              <w:marRight w:val="0"/>
              <w:marTop w:val="0"/>
              <w:marBottom w:val="0"/>
              <w:divBdr>
                <w:top w:val="none" w:sz="0" w:space="0" w:color="auto"/>
                <w:left w:val="none" w:sz="0" w:space="0" w:color="auto"/>
                <w:bottom w:val="none" w:sz="0" w:space="0" w:color="auto"/>
                <w:right w:val="none" w:sz="0" w:space="0" w:color="auto"/>
              </w:divBdr>
              <w:divsChild>
                <w:div w:id="1234243813">
                  <w:marLeft w:val="0"/>
                  <w:marRight w:val="0"/>
                  <w:marTop w:val="250"/>
                  <w:marBottom w:val="0"/>
                  <w:divBdr>
                    <w:top w:val="single" w:sz="4" w:space="0" w:color="CCCCCC"/>
                    <w:left w:val="none" w:sz="0" w:space="0" w:color="auto"/>
                    <w:bottom w:val="none" w:sz="0" w:space="0" w:color="auto"/>
                    <w:right w:val="none" w:sz="0" w:space="0" w:color="auto"/>
                  </w:divBdr>
                  <w:divsChild>
                    <w:div w:id="1234243543">
                      <w:marLeft w:val="326"/>
                      <w:marRight w:val="250"/>
                      <w:marTop w:val="125"/>
                      <w:marBottom w:val="250"/>
                      <w:divBdr>
                        <w:top w:val="none" w:sz="0" w:space="0" w:color="auto"/>
                        <w:left w:val="none" w:sz="0" w:space="0" w:color="auto"/>
                        <w:bottom w:val="none" w:sz="0" w:space="0" w:color="auto"/>
                        <w:right w:val="none" w:sz="0" w:space="0" w:color="auto"/>
                      </w:divBdr>
                      <w:divsChild>
                        <w:div w:id="1234243723">
                          <w:marLeft w:val="0"/>
                          <w:marRight w:val="0"/>
                          <w:marTop w:val="50"/>
                          <w:marBottom w:val="88"/>
                          <w:divBdr>
                            <w:top w:val="none" w:sz="0" w:space="0" w:color="auto"/>
                            <w:left w:val="none" w:sz="0" w:space="0" w:color="auto"/>
                            <w:bottom w:val="none" w:sz="0" w:space="0" w:color="auto"/>
                            <w:right w:val="none" w:sz="0" w:space="0" w:color="auto"/>
                          </w:divBdr>
                          <w:divsChild>
                            <w:div w:id="1234243489">
                              <w:marLeft w:val="0"/>
                              <w:marRight w:val="0"/>
                              <w:marTop w:val="0"/>
                              <w:marBottom w:val="0"/>
                              <w:divBdr>
                                <w:top w:val="none" w:sz="0" w:space="0" w:color="auto"/>
                                <w:left w:val="none" w:sz="0" w:space="0" w:color="auto"/>
                                <w:bottom w:val="none" w:sz="0" w:space="0" w:color="auto"/>
                                <w:right w:val="none" w:sz="0" w:space="0" w:color="auto"/>
                              </w:divBdr>
                              <w:divsChild>
                                <w:div w:id="12342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678">
      <w:marLeft w:val="0"/>
      <w:marRight w:val="0"/>
      <w:marTop w:val="0"/>
      <w:marBottom w:val="0"/>
      <w:divBdr>
        <w:top w:val="none" w:sz="0" w:space="0" w:color="auto"/>
        <w:left w:val="none" w:sz="0" w:space="0" w:color="auto"/>
        <w:bottom w:val="none" w:sz="0" w:space="0" w:color="auto"/>
        <w:right w:val="none" w:sz="0" w:space="0" w:color="auto"/>
      </w:divBdr>
    </w:div>
    <w:div w:id="1234243679">
      <w:marLeft w:val="0"/>
      <w:marRight w:val="0"/>
      <w:marTop w:val="0"/>
      <w:marBottom w:val="0"/>
      <w:divBdr>
        <w:top w:val="none" w:sz="0" w:space="0" w:color="auto"/>
        <w:left w:val="none" w:sz="0" w:space="0" w:color="auto"/>
        <w:bottom w:val="none" w:sz="0" w:space="0" w:color="auto"/>
        <w:right w:val="none" w:sz="0" w:space="0" w:color="auto"/>
      </w:divBdr>
      <w:divsChild>
        <w:div w:id="1234243544">
          <w:marLeft w:val="0"/>
          <w:marRight w:val="0"/>
          <w:marTop w:val="0"/>
          <w:marBottom w:val="0"/>
          <w:divBdr>
            <w:top w:val="none" w:sz="0" w:space="0" w:color="auto"/>
            <w:left w:val="none" w:sz="0" w:space="0" w:color="auto"/>
            <w:bottom w:val="none" w:sz="0" w:space="0" w:color="auto"/>
            <w:right w:val="none" w:sz="0" w:space="0" w:color="auto"/>
          </w:divBdr>
          <w:divsChild>
            <w:div w:id="1234243812">
              <w:marLeft w:val="0"/>
              <w:marRight w:val="0"/>
              <w:marTop w:val="125"/>
              <w:marBottom w:val="125"/>
              <w:divBdr>
                <w:top w:val="none" w:sz="0" w:space="0" w:color="auto"/>
                <w:left w:val="none" w:sz="0" w:space="0" w:color="auto"/>
                <w:bottom w:val="none" w:sz="0" w:space="0" w:color="auto"/>
                <w:right w:val="none" w:sz="0" w:space="0" w:color="auto"/>
              </w:divBdr>
              <w:divsChild>
                <w:div w:id="1234243675">
                  <w:marLeft w:val="0"/>
                  <w:marRight w:val="0"/>
                  <w:marTop w:val="0"/>
                  <w:marBottom w:val="0"/>
                  <w:divBdr>
                    <w:top w:val="dashed" w:sz="4" w:space="6" w:color="C0C0C0"/>
                    <w:left w:val="none" w:sz="0" w:space="0" w:color="auto"/>
                    <w:bottom w:val="none" w:sz="0" w:space="0" w:color="auto"/>
                    <w:right w:val="none" w:sz="0" w:space="0" w:color="auto"/>
                  </w:divBdr>
                  <w:divsChild>
                    <w:div w:id="12342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3681">
      <w:marLeft w:val="0"/>
      <w:marRight w:val="0"/>
      <w:marTop w:val="0"/>
      <w:marBottom w:val="0"/>
      <w:divBdr>
        <w:top w:val="none" w:sz="0" w:space="0" w:color="auto"/>
        <w:left w:val="none" w:sz="0" w:space="0" w:color="auto"/>
        <w:bottom w:val="none" w:sz="0" w:space="0" w:color="auto"/>
        <w:right w:val="none" w:sz="0" w:space="0" w:color="auto"/>
      </w:divBdr>
    </w:div>
    <w:div w:id="1234243684">
      <w:marLeft w:val="0"/>
      <w:marRight w:val="0"/>
      <w:marTop w:val="0"/>
      <w:marBottom w:val="0"/>
      <w:divBdr>
        <w:top w:val="none" w:sz="0" w:space="0" w:color="auto"/>
        <w:left w:val="none" w:sz="0" w:space="0" w:color="auto"/>
        <w:bottom w:val="none" w:sz="0" w:space="0" w:color="auto"/>
        <w:right w:val="none" w:sz="0" w:space="0" w:color="auto"/>
      </w:divBdr>
      <w:divsChild>
        <w:div w:id="1234243617">
          <w:marLeft w:val="0"/>
          <w:marRight w:val="0"/>
          <w:marTop w:val="0"/>
          <w:marBottom w:val="0"/>
          <w:divBdr>
            <w:top w:val="none" w:sz="0" w:space="0" w:color="auto"/>
            <w:left w:val="none" w:sz="0" w:space="0" w:color="auto"/>
            <w:bottom w:val="none" w:sz="0" w:space="0" w:color="auto"/>
            <w:right w:val="none" w:sz="0" w:space="0" w:color="auto"/>
          </w:divBdr>
          <w:divsChild>
            <w:div w:id="1234243513">
              <w:marLeft w:val="0"/>
              <w:marRight w:val="0"/>
              <w:marTop w:val="0"/>
              <w:marBottom w:val="0"/>
              <w:divBdr>
                <w:top w:val="none" w:sz="0" w:space="0" w:color="auto"/>
                <w:left w:val="none" w:sz="0" w:space="0" w:color="auto"/>
                <w:bottom w:val="none" w:sz="0" w:space="0" w:color="auto"/>
                <w:right w:val="none" w:sz="0" w:space="0" w:color="auto"/>
              </w:divBdr>
              <w:divsChild>
                <w:div w:id="1234243485">
                  <w:marLeft w:val="0"/>
                  <w:marRight w:val="0"/>
                  <w:marTop w:val="300"/>
                  <w:marBottom w:val="0"/>
                  <w:divBdr>
                    <w:top w:val="single" w:sz="6" w:space="0" w:color="CCCCCC"/>
                    <w:left w:val="none" w:sz="0" w:space="0" w:color="auto"/>
                    <w:bottom w:val="none" w:sz="0" w:space="0" w:color="auto"/>
                    <w:right w:val="none" w:sz="0" w:space="0" w:color="auto"/>
                  </w:divBdr>
                  <w:divsChild>
                    <w:div w:id="1234243708">
                      <w:marLeft w:val="390"/>
                      <w:marRight w:val="300"/>
                      <w:marTop w:val="150"/>
                      <w:marBottom w:val="300"/>
                      <w:divBdr>
                        <w:top w:val="none" w:sz="0" w:space="0" w:color="auto"/>
                        <w:left w:val="none" w:sz="0" w:space="0" w:color="auto"/>
                        <w:bottom w:val="none" w:sz="0" w:space="0" w:color="auto"/>
                        <w:right w:val="none" w:sz="0" w:space="0" w:color="auto"/>
                      </w:divBdr>
                      <w:divsChild>
                        <w:div w:id="1234243637">
                          <w:marLeft w:val="0"/>
                          <w:marRight w:val="0"/>
                          <w:marTop w:val="60"/>
                          <w:marBottom w:val="105"/>
                          <w:divBdr>
                            <w:top w:val="none" w:sz="0" w:space="0" w:color="auto"/>
                            <w:left w:val="none" w:sz="0" w:space="0" w:color="auto"/>
                            <w:bottom w:val="none" w:sz="0" w:space="0" w:color="auto"/>
                            <w:right w:val="none" w:sz="0" w:space="0" w:color="auto"/>
                          </w:divBdr>
                          <w:divsChild>
                            <w:div w:id="1234243577">
                              <w:marLeft w:val="0"/>
                              <w:marRight w:val="0"/>
                              <w:marTop w:val="0"/>
                              <w:marBottom w:val="0"/>
                              <w:divBdr>
                                <w:top w:val="none" w:sz="0" w:space="0" w:color="auto"/>
                                <w:left w:val="none" w:sz="0" w:space="0" w:color="auto"/>
                                <w:bottom w:val="none" w:sz="0" w:space="0" w:color="auto"/>
                                <w:right w:val="none" w:sz="0" w:space="0" w:color="auto"/>
                              </w:divBdr>
                              <w:divsChild>
                                <w:div w:id="12342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687">
      <w:marLeft w:val="0"/>
      <w:marRight w:val="0"/>
      <w:marTop w:val="0"/>
      <w:marBottom w:val="0"/>
      <w:divBdr>
        <w:top w:val="none" w:sz="0" w:space="0" w:color="auto"/>
        <w:left w:val="none" w:sz="0" w:space="0" w:color="auto"/>
        <w:bottom w:val="none" w:sz="0" w:space="0" w:color="auto"/>
        <w:right w:val="none" w:sz="0" w:space="0" w:color="auto"/>
      </w:divBdr>
    </w:div>
    <w:div w:id="1234243690">
      <w:marLeft w:val="0"/>
      <w:marRight w:val="0"/>
      <w:marTop w:val="0"/>
      <w:marBottom w:val="0"/>
      <w:divBdr>
        <w:top w:val="none" w:sz="0" w:space="0" w:color="auto"/>
        <w:left w:val="none" w:sz="0" w:space="0" w:color="auto"/>
        <w:bottom w:val="none" w:sz="0" w:space="0" w:color="auto"/>
        <w:right w:val="none" w:sz="0" w:space="0" w:color="auto"/>
      </w:divBdr>
    </w:div>
    <w:div w:id="1234243691">
      <w:marLeft w:val="0"/>
      <w:marRight w:val="0"/>
      <w:marTop w:val="0"/>
      <w:marBottom w:val="0"/>
      <w:divBdr>
        <w:top w:val="none" w:sz="0" w:space="0" w:color="auto"/>
        <w:left w:val="none" w:sz="0" w:space="0" w:color="auto"/>
        <w:bottom w:val="none" w:sz="0" w:space="0" w:color="auto"/>
        <w:right w:val="none" w:sz="0" w:space="0" w:color="auto"/>
      </w:divBdr>
    </w:div>
    <w:div w:id="1234243692">
      <w:marLeft w:val="0"/>
      <w:marRight w:val="0"/>
      <w:marTop w:val="0"/>
      <w:marBottom w:val="0"/>
      <w:divBdr>
        <w:top w:val="none" w:sz="0" w:space="0" w:color="auto"/>
        <w:left w:val="none" w:sz="0" w:space="0" w:color="auto"/>
        <w:bottom w:val="none" w:sz="0" w:space="0" w:color="auto"/>
        <w:right w:val="none" w:sz="0" w:space="0" w:color="auto"/>
      </w:divBdr>
    </w:div>
    <w:div w:id="1234243693">
      <w:marLeft w:val="0"/>
      <w:marRight w:val="0"/>
      <w:marTop w:val="0"/>
      <w:marBottom w:val="0"/>
      <w:divBdr>
        <w:top w:val="none" w:sz="0" w:space="0" w:color="auto"/>
        <w:left w:val="none" w:sz="0" w:space="0" w:color="auto"/>
        <w:bottom w:val="none" w:sz="0" w:space="0" w:color="auto"/>
        <w:right w:val="none" w:sz="0" w:space="0" w:color="auto"/>
      </w:divBdr>
    </w:div>
    <w:div w:id="1234243695">
      <w:marLeft w:val="0"/>
      <w:marRight w:val="0"/>
      <w:marTop w:val="0"/>
      <w:marBottom w:val="0"/>
      <w:divBdr>
        <w:top w:val="none" w:sz="0" w:space="0" w:color="auto"/>
        <w:left w:val="none" w:sz="0" w:space="0" w:color="auto"/>
        <w:bottom w:val="none" w:sz="0" w:space="0" w:color="auto"/>
        <w:right w:val="none" w:sz="0" w:space="0" w:color="auto"/>
      </w:divBdr>
    </w:div>
    <w:div w:id="1234243697">
      <w:marLeft w:val="0"/>
      <w:marRight w:val="0"/>
      <w:marTop w:val="0"/>
      <w:marBottom w:val="0"/>
      <w:divBdr>
        <w:top w:val="none" w:sz="0" w:space="0" w:color="auto"/>
        <w:left w:val="none" w:sz="0" w:space="0" w:color="auto"/>
        <w:bottom w:val="none" w:sz="0" w:space="0" w:color="auto"/>
        <w:right w:val="none" w:sz="0" w:space="0" w:color="auto"/>
      </w:divBdr>
      <w:divsChild>
        <w:div w:id="1234243792">
          <w:marLeft w:val="0"/>
          <w:marRight w:val="0"/>
          <w:marTop w:val="0"/>
          <w:marBottom w:val="0"/>
          <w:divBdr>
            <w:top w:val="none" w:sz="0" w:space="0" w:color="auto"/>
            <w:left w:val="none" w:sz="0" w:space="0" w:color="auto"/>
            <w:bottom w:val="none" w:sz="0" w:space="0" w:color="auto"/>
            <w:right w:val="none" w:sz="0" w:space="0" w:color="auto"/>
          </w:divBdr>
          <w:divsChild>
            <w:div w:id="1234243576">
              <w:marLeft w:val="0"/>
              <w:marRight w:val="0"/>
              <w:marTop w:val="0"/>
              <w:marBottom w:val="0"/>
              <w:divBdr>
                <w:top w:val="none" w:sz="0" w:space="0" w:color="auto"/>
                <w:left w:val="none" w:sz="0" w:space="0" w:color="auto"/>
                <w:bottom w:val="none" w:sz="0" w:space="0" w:color="auto"/>
                <w:right w:val="none" w:sz="0" w:space="0" w:color="auto"/>
              </w:divBdr>
              <w:divsChild>
                <w:div w:id="1234243545">
                  <w:marLeft w:val="0"/>
                  <w:marRight w:val="0"/>
                  <w:marTop w:val="250"/>
                  <w:marBottom w:val="0"/>
                  <w:divBdr>
                    <w:top w:val="single" w:sz="4" w:space="0" w:color="CCCCCC"/>
                    <w:left w:val="none" w:sz="0" w:space="0" w:color="auto"/>
                    <w:bottom w:val="none" w:sz="0" w:space="0" w:color="auto"/>
                    <w:right w:val="none" w:sz="0" w:space="0" w:color="auto"/>
                  </w:divBdr>
                  <w:divsChild>
                    <w:div w:id="1234243740">
                      <w:marLeft w:val="326"/>
                      <w:marRight w:val="250"/>
                      <w:marTop w:val="125"/>
                      <w:marBottom w:val="250"/>
                      <w:divBdr>
                        <w:top w:val="none" w:sz="0" w:space="0" w:color="auto"/>
                        <w:left w:val="none" w:sz="0" w:space="0" w:color="auto"/>
                        <w:bottom w:val="none" w:sz="0" w:space="0" w:color="auto"/>
                        <w:right w:val="none" w:sz="0" w:space="0" w:color="auto"/>
                      </w:divBdr>
                      <w:divsChild>
                        <w:div w:id="1234243688">
                          <w:marLeft w:val="0"/>
                          <w:marRight w:val="0"/>
                          <w:marTop w:val="50"/>
                          <w:marBottom w:val="88"/>
                          <w:divBdr>
                            <w:top w:val="none" w:sz="0" w:space="0" w:color="auto"/>
                            <w:left w:val="none" w:sz="0" w:space="0" w:color="auto"/>
                            <w:bottom w:val="none" w:sz="0" w:space="0" w:color="auto"/>
                            <w:right w:val="none" w:sz="0" w:space="0" w:color="auto"/>
                          </w:divBdr>
                          <w:divsChild>
                            <w:div w:id="1234243799">
                              <w:marLeft w:val="0"/>
                              <w:marRight w:val="0"/>
                              <w:marTop w:val="0"/>
                              <w:marBottom w:val="0"/>
                              <w:divBdr>
                                <w:top w:val="none" w:sz="0" w:space="0" w:color="auto"/>
                                <w:left w:val="none" w:sz="0" w:space="0" w:color="auto"/>
                                <w:bottom w:val="none" w:sz="0" w:space="0" w:color="auto"/>
                                <w:right w:val="none" w:sz="0" w:space="0" w:color="auto"/>
                              </w:divBdr>
                              <w:divsChild>
                                <w:div w:id="12342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698">
      <w:marLeft w:val="0"/>
      <w:marRight w:val="0"/>
      <w:marTop w:val="0"/>
      <w:marBottom w:val="0"/>
      <w:divBdr>
        <w:top w:val="none" w:sz="0" w:space="0" w:color="auto"/>
        <w:left w:val="none" w:sz="0" w:space="0" w:color="auto"/>
        <w:bottom w:val="none" w:sz="0" w:space="0" w:color="auto"/>
        <w:right w:val="none" w:sz="0" w:space="0" w:color="auto"/>
      </w:divBdr>
    </w:div>
    <w:div w:id="1234243699">
      <w:marLeft w:val="0"/>
      <w:marRight w:val="0"/>
      <w:marTop w:val="0"/>
      <w:marBottom w:val="0"/>
      <w:divBdr>
        <w:top w:val="none" w:sz="0" w:space="0" w:color="auto"/>
        <w:left w:val="none" w:sz="0" w:space="0" w:color="auto"/>
        <w:bottom w:val="none" w:sz="0" w:space="0" w:color="auto"/>
        <w:right w:val="none" w:sz="0" w:space="0" w:color="auto"/>
      </w:divBdr>
    </w:div>
    <w:div w:id="1234243701">
      <w:marLeft w:val="0"/>
      <w:marRight w:val="0"/>
      <w:marTop w:val="0"/>
      <w:marBottom w:val="0"/>
      <w:divBdr>
        <w:top w:val="none" w:sz="0" w:space="0" w:color="auto"/>
        <w:left w:val="none" w:sz="0" w:space="0" w:color="auto"/>
        <w:bottom w:val="none" w:sz="0" w:space="0" w:color="auto"/>
        <w:right w:val="none" w:sz="0" w:space="0" w:color="auto"/>
      </w:divBdr>
    </w:div>
    <w:div w:id="1234243704">
      <w:marLeft w:val="0"/>
      <w:marRight w:val="0"/>
      <w:marTop w:val="0"/>
      <w:marBottom w:val="0"/>
      <w:divBdr>
        <w:top w:val="none" w:sz="0" w:space="0" w:color="auto"/>
        <w:left w:val="none" w:sz="0" w:space="0" w:color="auto"/>
        <w:bottom w:val="none" w:sz="0" w:space="0" w:color="auto"/>
        <w:right w:val="none" w:sz="0" w:space="0" w:color="auto"/>
      </w:divBdr>
    </w:div>
    <w:div w:id="1234243705">
      <w:marLeft w:val="0"/>
      <w:marRight w:val="0"/>
      <w:marTop w:val="0"/>
      <w:marBottom w:val="0"/>
      <w:divBdr>
        <w:top w:val="none" w:sz="0" w:space="0" w:color="auto"/>
        <w:left w:val="none" w:sz="0" w:space="0" w:color="auto"/>
        <w:bottom w:val="none" w:sz="0" w:space="0" w:color="auto"/>
        <w:right w:val="none" w:sz="0" w:space="0" w:color="auto"/>
      </w:divBdr>
    </w:div>
    <w:div w:id="1234243707">
      <w:marLeft w:val="0"/>
      <w:marRight w:val="0"/>
      <w:marTop w:val="0"/>
      <w:marBottom w:val="0"/>
      <w:divBdr>
        <w:top w:val="none" w:sz="0" w:space="0" w:color="auto"/>
        <w:left w:val="none" w:sz="0" w:space="0" w:color="auto"/>
        <w:bottom w:val="none" w:sz="0" w:space="0" w:color="auto"/>
        <w:right w:val="none" w:sz="0" w:space="0" w:color="auto"/>
      </w:divBdr>
      <w:divsChild>
        <w:div w:id="1234243632">
          <w:marLeft w:val="0"/>
          <w:marRight w:val="0"/>
          <w:marTop w:val="0"/>
          <w:marBottom w:val="0"/>
          <w:divBdr>
            <w:top w:val="none" w:sz="0" w:space="0" w:color="auto"/>
            <w:left w:val="none" w:sz="0" w:space="0" w:color="auto"/>
            <w:bottom w:val="none" w:sz="0" w:space="0" w:color="auto"/>
            <w:right w:val="none" w:sz="0" w:space="0" w:color="auto"/>
          </w:divBdr>
          <w:divsChild>
            <w:div w:id="1234243706">
              <w:marLeft w:val="0"/>
              <w:marRight w:val="0"/>
              <w:marTop w:val="0"/>
              <w:marBottom w:val="0"/>
              <w:divBdr>
                <w:top w:val="none" w:sz="0" w:space="0" w:color="auto"/>
                <w:left w:val="none" w:sz="0" w:space="0" w:color="auto"/>
                <w:bottom w:val="none" w:sz="0" w:space="0" w:color="auto"/>
                <w:right w:val="none" w:sz="0" w:space="0" w:color="auto"/>
              </w:divBdr>
              <w:divsChild>
                <w:div w:id="1234243711">
                  <w:marLeft w:val="0"/>
                  <w:marRight w:val="0"/>
                  <w:marTop w:val="300"/>
                  <w:marBottom w:val="0"/>
                  <w:divBdr>
                    <w:top w:val="single" w:sz="6" w:space="0" w:color="CCCCCC"/>
                    <w:left w:val="none" w:sz="0" w:space="0" w:color="auto"/>
                    <w:bottom w:val="none" w:sz="0" w:space="0" w:color="auto"/>
                    <w:right w:val="none" w:sz="0" w:space="0" w:color="auto"/>
                  </w:divBdr>
                  <w:divsChild>
                    <w:div w:id="1234243726">
                      <w:marLeft w:val="390"/>
                      <w:marRight w:val="300"/>
                      <w:marTop w:val="150"/>
                      <w:marBottom w:val="300"/>
                      <w:divBdr>
                        <w:top w:val="none" w:sz="0" w:space="0" w:color="auto"/>
                        <w:left w:val="none" w:sz="0" w:space="0" w:color="auto"/>
                        <w:bottom w:val="none" w:sz="0" w:space="0" w:color="auto"/>
                        <w:right w:val="none" w:sz="0" w:space="0" w:color="auto"/>
                      </w:divBdr>
                      <w:divsChild>
                        <w:div w:id="1234243780">
                          <w:marLeft w:val="0"/>
                          <w:marRight w:val="0"/>
                          <w:marTop w:val="60"/>
                          <w:marBottom w:val="105"/>
                          <w:divBdr>
                            <w:top w:val="none" w:sz="0" w:space="0" w:color="auto"/>
                            <w:left w:val="none" w:sz="0" w:space="0" w:color="auto"/>
                            <w:bottom w:val="none" w:sz="0" w:space="0" w:color="auto"/>
                            <w:right w:val="none" w:sz="0" w:space="0" w:color="auto"/>
                          </w:divBdr>
                          <w:divsChild>
                            <w:div w:id="1234243793">
                              <w:marLeft w:val="0"/>
                              <w:marRight w:val="0"/>
                              <w:marTop w:val="0"/>
                              <w:marBottom w:val="0"/>
                              <w:divBdr>
                                <w:top w:val="none" w:sz="0" w:space="0" w:color="auto"/>
                                <w:left w:val="none" w:sz="0" w:space="0" w:color="auto"/>
                                <w:bottom w:val="none" w:sz="0" w:space="0" w:color="auto"/>
                                <w:right w:val="none" w:sz="0" w:space="0" w:color="auto"/>
                              </w:divBdr>
                              <w:divsChild>
                                <w:div w:id="12342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709">
      <w:marLeft w:val="0"/>
      <w:marRight w:val="0"/>
      <w:marTop w:val="0"/>
      <w:marBottom w:val="0"/>
      <w:divBdr>
        <w:top w:val="none" w:sz="0" w:space="0" w:color="auto"/>
        <w:left w:val="none" w:sz="0" w:space="0" w:color="auto"/>
        <w:bottom w:val="none" w:sz="0" w:space="0" w:color="auto"/>
        <w:right w:val="none" w:sz="0" w:space="0" w:color="auto"/>
      </w:divBdr>
      <w:divsChild>
        <w:div w:id="1234243686">
          <w:marLeft w:val="0"/>
          <w:marRight w:val="0"/>
          <w:marTop w:val="0"/>
          <w:marBottom w:val="0"/>
          <w:divBdr>
            <w:top w:val="none" w:sz="0" w:space="0" w:color="auto"/>
            <w:left w:val="none" w:sz="0" w:space="0" w:color="auto"/>
            <w:bottom w:val="none" w:sz="0" w:space="0" w:color="auto"/>
            <w:right w:val="none" w:sz="0" w:space="0" w:color="auto"/>
          </w:divBdr>
          <w:divsChild>
            <w:div w:id="1234243496">
              <w:marLeft w:val="0"/>
              <w:marRight w:val="0"/>
              <w:marTop w:val="0"/>
              <w:marBottom w:val="0"/>
              <w:divBdr>
                <w:top w:val="none" w:sz="0" w:space="0" w:color="auto"/>
                <w:left w:val="none" w:sz="0" w:space="0" w:color="auto"/>
                <w:bottom w:val="none" w:sz="0" w:space="0" w:color="auto"/>
                <w:right w:val="none" w:sz="0" w:space="0" w:color="auto"/>
              </w:divBdr>
              <w:divsChild>
                <w:div w:id="1234243622">
                  <w:marLeft w:val="0"/>
                  <w:marRight w:val="0"/>
                  <w:marTop w:val="250"/>
                  <w:marBottom w:val="0"/>
                  <w:divBdr>
                    <w:top w:val="single" w:sz="4" w:space="0" w:color="CCCCCC"/>
                    <w:left w:val="none" w:sz="0" w:space="0" w:color="auto"/>
                    <w:bottom w:val="none" w:sz="0" w:space="0" w:color="auto"/>
                    <w:right w:val="none" w:sz="0" w:space="0" w:color="auto"/>
                  </w:divBdr>
                  <w:divsChild>
                    <w:div w:id="1234243786">
                      <w:marLeft w:val="326"/>
                      <w:marRight w:val="250"/>
                      <w:marTop w:val="125"/>
                      <w:marBottom w:val="250"/>
                      <w:divBdr>
                        <w:top w:val="none" w:sz="0" w:space="0" w:color="auto"/>
                        <w:left w:val="none" w:sz="0" w:space="0" w:color="auto"/>
                        <w:bottom w:val="none" w:sz="0" w:space="0" w:color="auto"/>
                        <w:right w:val="none" w:sz="0" w:space="0" w:color="auto"/>
                      </w:divBdr>
                      <w:divsChild>
                        <w:div w:id="1234243480">
                          <w:marLeft w:val="0"/>
                          <w:marRight w:val="0"/>
                          <w:marTop w:val="50"/>
                          <w:marBottom w:val="88"/>
                          <w:divBdr>
                            <w:top w:val="none" w:sz="0" w:space="0" w:color="auto"/>
                            <w:left w:val="none" w:sz="0" w:space="0" w:color="auto"/>
                            <w:bottom w:val="none" w:sz="0" w:space="0" w:color="auto"/>
                            <w:right w:val="none" w:sz="0" w:space="0" w:color="auto"/>
                          </w:divBdr>
                          <w:divsChild>
                            <w:div w:id="1234243730">
                              <w:marLeft w:val="0"/>
                              <w:marRight w:val="0"/>
                              <w:marTop w:val="0"/>
                              <w:marBottom w:val="0"/>
                              <w:divBdr>
                                <w:top w:val="none" w:sz="0" w:space="0" w:color="auto"/>
                                <w:left w:val="none" w:sz="0" w:space="0" w:color="auto"/>
                                <w:bottom w:val="none" w:sz="0" w:space="0" w:color="auto"/>
                                <w:right w:val="none" w:sz="0" w:space="0" w:color="auto"/>
                              </w:divBdr>
                              <w:divsChild>
                                <w:div w:id="12342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712">
      <w:marLeft w:val="0"/>
      <w:marRight w:val="0"/>
      <w:marTop w:val="0"/>
      <w:marBottom w:val="0"/>
      <w:divBdr>
        <w:top w:val="none" w:sz="0" w:space="0" w:color="auto"/>
        <w:left w:val="none" w:sz="0" w:space="0" w:color="auto"/>
        <w:bottom w:val="none" w:sz="0" w:space="0" w:color="auto"/>
        <w:right w:val="none" w:sz="0" w:space="0" w:color="auto"/>
      </w:divBdr>
    </w:div>
    <w:div w:id="1234243714">
      <w:marLeft w:val="0"/>
      <w:marRight w:val="0"/>
      <w:marTop w:val="0"/>
      <w:marBottom w:val="0"/>
      <w:divBdr>
        <w:top w:val="none" w:sz="0" w:space="0" w:color="auto"/>
        <w:left w:val="none" w:sz="0" w:space="0" w:color="auto"/>
        <w:bottom w:val="none" w:sz="0" w:space="0" w:color="auto"/>
        <w:right w:val="none" w:sz="0" w:space="0" w:color="auto"/>
      </w:divBdr>
    </w:div>
    <w:div w:id="1234243715">
      <w:marLeft w:val="0"/>
      <w:marRight w:val="0"/>
      <w:marTop w:val="0"/>
      <w:marBottom w:val="0"/>
      <w:divBdr>
        <w:top w:val="none" w:sz="0" w:space="0" w:color="auto"/>
        <w:left w:val="none" w:sz="0" w:space="0" w:color="auto"/>
        <w:bottom w:val="none" w:sz="0" w:space="0" w:color="auto"/>
        <w:right w:val="none" w:sz="0" w:space="0" w:color="auto"/>
      </w:divBdr>
    </w:div>
    <w:div w:id="1234243720">
      <w:marLeft w:val="0"/>
      <w:marRight w:val="0"/>
      <w:marTop w:val="0"/>
      <w:marBottom w:val="0"/>
      <w:divBdr>
        <w:top w:val="none" w:sz="0" w:space="0" w:color="auto"/>
        <w:left w:val="none" w:sz="0" w:space="0" w:color="auto"/>
        <w:bottom w:val="none" w:sz="0" w:space="0" w:color="auto"/>
        <w:right w:val="none" w:sz="0" w:space="0" w:color="auto"/>
      </w:divBdr>
    </w:div>
    <w:div w:id="1234243721">
      <w:marLeft w:val="0"/>
      <w:marRight w:val="0"/>
      <w:marTop w:val="0"/>
      <w:marBottom w:val="0"/>
      <w:divBdr>
        <w:top w:val="none" w:sz="0" w:space="0" w:color="auto"/>
        <w:left w:val="none" w:sz="0" w:space="0" w:color="auto"/>
        <w:bottom w:val="none" w:sz="0" w:space="0" w:color="auto"/>
        <w:right w:val="none" w:sz="0" w:space="0" w:color="auto"/>
      </w:divBdr>
    </w:div>
    <w:div w:id="1234243727">
      <w:marLeft w:val="0"/>
      <w:marRight w:val="0"/>
      <w:marTop w:val="0"/>
      <w:marBottom w:val="0"/>
      <w:divBdr>
        <w:top w:val="none" w:sz="0" w:space="0" w:color="auto"/>
        <w:left w:val="none" w:sz="0" w:space="0" w:color="auto"/>
        <w:bottom w:val="none" w:sz="0" w:space="0" w:color="auto"/>
        <w:right w:val="none" w:sz="0" w:space="0" w:color="auto"/>
      </w:divBdr>
    </w:div>
    <w:div w:id="1234243731">
      <w:marLeft w:val="0"/>
      <w:marRight w:val="0"/>
      <w:marTop w:val="0"/>
      <w:marBottom w:val="0"/>
      <w:divBdr>
        <w:top w:val="none" w:sz="0" w:space="0" w:color="auto"/>
        <w:left w:val="none" w:sz="0" w:space="0" w:color="auto"/>
        <w:bottom w:val="none" w:sz="0" w:space="0" w:color="auto"/>
        <w:right w:val="none" w:sz="0" w:space="0" w:color="auto"/>
      </w:divBdr>
    </w:div>
    <w:div w:id="1234243732">
      <w:marLeft w:val="0"/>
      <w:marRight w:val="0"/>
      <w:marTop w:val="0"/>
      <w:marBottom w:val="0"/>
      <w:divBdr>
        <w:top w:val="none" w:sz="0" w:space="0" w:color="auto"/>
        <w:left w:val="none" w:sz="0" w:space="0" w:color="auto"/>
        <w:bottom w:val="none" w:sz="0" w:space="0" w:color="auto"/>
        <w:right w:val="none" w:sz="0" w:space="0" w:color="auto"/>
      </w:divBdr>
    </w:div>
    <w:div w:id="1234243736">
      <w:marLeft w:val="0"/>
      <w:marRight w:val="0"/>
      <w:marTop w:val="0"/>
      <w:marBottom w:val="0"/>
      <w:divBdr>
        <w:top w:val="none" w:sz="0" w:space="0" w:color="auto"/>
        <w:left w:val="none" w:sz="0" w:space="0" w:color="auto"/>
        <w:bottom w:val="none" w:sz="0" w:space="0" w:color="auto"/>
        <w:right w:val="none" w:sz="0" w:space="0" w:color="auto"/>
      </w:divBdr>
    </w:div>
    <w:div w:id="1234243738">
      <w:marLeft w:val="0"/>
      <w:marRight w:val="0"/>
      <w:marTop w:val="0"/>
      <w:marBottom w:val="0"/>
      <w:divBdr>
        <w:top w:val="none" w:sz="0" w:space="0" w:color="auto"/>
        <w:left w:val="none" w:sz="0" w:space="0" w:color="auto"/>
        <w:bottom w:val="none" w:sz="0" w:space="0" w:color="auto"/>
        <w:right w:val="none" w:sz="0" w:space="0" w:color="auto"/>
      </w:divBdr>
    </w:div>
    <w:div w:id="1234243739">
      <w:marLeft w:val="0"/>
      <w:marRight w:val="0"/>
      <w:marTop w:val="0"/>
      <w:marBottom w:val="0"/>
      <w:divBdr>
        <w:top w:val="none" w:sz="0" w:space="0" w:color="auto"/>
        <w:left w:val="none" w:sz="0" w:space="0" w:color="auto"/>
        <w:bottom w:val="none" w:sz="0" w:space="0" w:color="auto"/>
        <w:right w:val="none" w:sz="0" w:space="0" w:color="auto"/>
      </w:divBdr>
    </w:div>
    <w:div w:id="1234243742">
      <w:marLeft w:val="0"/>
      <w:marRight w:val="0"/>
      <w:marTop w:val="0"/>
      <w:marBottom w:val="0"/>
      <w:divBdr>
        <w:top w:val="none" w:sz="0" w:space="0" w:color="auto"/>
        <w:left w:val="none" w:sz="0" w:space="0" w:color="auto"/>
        <w:bottom w:val="none" w:sz="0" w:space="0" w:color="auto"/>
        <w:right w:val="none" w:sz="0" w:space="0" w:color="auto"/>
      </w:divBdr>
    </w:div>
    <w:div w:id="1234243743">
      <w:marLeft w:val="0"/>
      <w:marRight w:val="0"/>
      <w:marTop w:val="0"/>
      <w:marBottom w:val="0"/>
      <w:divBdr>
        <w:top w:val="none" w:sz="0" w:space="0" w:color="auto"/>
        <w:left w:val="none" w:sz="0" w:space="0" w:color="auto"/>
        <w:bottom w:val="none" w:sz="0" w:space="0" w:color="auto"/>
        <w:right w:val="none" w:sz="0" w:space="0" w:color="auto"/>
      </w:divBdr>
    </w:div>
    <w:div w:id="1234243746">
      <w:marLeft w:val="0"/>
      <w:marRight w:val="0"/>
      <w:marTop w:val="0"/>
      <w:marBottom w:val="0"/>
      <w:divBdr>
        <w:top w:val="none" w:sz="0" w:space="0" w:color="auto"/>
        <w:left w:val="none" w:sz="0" w:space="0" w:color="auto"/>
        <w:bottom w:val="none" w:sz="0" w:space="0" w:color="auto"/>
        <w:right w:val="none" w:sz="0" w:space="0" w:color="auto"/>
      </w:divBdr>
      <w:divsChild>
        <w:div w:id="1234243482">
          <w:marLeft w:val="0"/>
          <w:marRight w:val="0"/>
          <w:marTop w:val="0"/>
          <w:marBottom w:val="0"/>
          <w:divBdr>
            <w:top w:val="none" w:sz="0" w:space="0" w:color="auto"/>
            <w:left w:val="none" w:sz="0" w:space="0" w:color="auto"/>
            <w:bottom w:val="none" w:sz="0" w:space="0" w:color="auto"/>
            <w:right w:val="none" w:sz="0" w:space="0" w:color="auto"/>
          </w:divBdr>
          <w:divsChild>
            <w:div w:id="1234243477">
              <w:marLeft w:val="0"/>
              <w:marRight w:val="0"/>
              <w:marTop w:val="0"/>
              <w:marBottom w:val="0"/>
              <w:divBdr>
                <w:top w:val="none" w:sz="0" w:space="0" w:color="auto"/>
                <w:left w:val="none" w:sz="0" w:space="0" w:color="auto"/>
                <w:bottom w:val="none" w:sz="0" w:space="0" w:color="auto"/>
                <w:right w:val="none" w:sz="0" w:space="0" w:color="auto"/>
              </w:divBdr>
              <w:divsChild>
                <w:div w:id="1234243650">
                  <w:marLeft w:val="0"/>
                  <w:marRight w:val="0"/>
                  <w:marTop w:val="250"/>
                  <w:marBottom w:val="0"/>
                  <w:divBdr>
                    <w:top w:val="single" w:sz="4" w:space="0" w:color="CCCCCC"/>
                    <w:left w:val="none" w:sz="0" w:space="0" w:color="auto"/>
                    <w:bottom w:val="none" w:sz="0" w:space="0" w:color="auto"/>
                    <w:right w:val="none" w:sz="0" w:space="0" w:color="auto"/>
                  </w:divBdr>
                  <w:divsChild>
                    <w:div w:id="1234243765">
                      <w:marLeft w:val="326"/>
                      <w:marRight w:val="250"/>
                      <w:marTop w:val="125"/>
                      <w:marBottom w:val="250"/>
                      <w:divBdr>
                        <w:top w:val="none" w:sz="0" w:space="0" w:color="auto"/>
                        <w:left w:val="none" w:sz="0" w:space="0" w:color="auto"/>
                        <w:bottom w:val="none" w:sz="0" w:space="0" w:color="auto"/>
                        <w:right w:val="none" w:sz="0" w:space="0" w:color="auto"/>
                      </w:divBdr>
                      <w:divsChild>
                        <w:div w:id="1234243783">
                          <w:marLeft w:val="0"/>
                          <w:marRight w:val="0"/>
                          <w:marTop w:val="50"/>
                          <w:marBottom w:val="88"/>
                          <w:divBdr>
                            <w:top w:val="none" w:sz="0" w:space="0" w:color="auto"/>
                            <w:left w:val="none" w:sz="0" w:space="0" w:color="auto"/>
                            <w:bottom w:val="none" w:sz="0" w:space="0" w:color="auto"/>
                            <w:right w:val="none" w:sz="0" w:space="0" w:color="auto"/>
                          </w:divBdr>
                          <w:divsChild>
                            <w:div w:id="1234243598">
                              <w:marLeft w:val="0"/>
                              <w:marRight w:val="0"/>
                              <w:marTop w:val="0"/>
                              <w:marBottom w:val="0"/>
                              <w:divBdr>
                                <w:top w:val="none" w:sz="0" w:space="0" w:color="auto"/>
                                <w:left w:val="none" w:sz="0" w:space="0" w:color="auto"/>
                                <w:bottom w:val="none" w:sz="0" w:space="0" w:color="auto"/>
                                <w:right w:val="none" w:sz="0" w:space="0" w:color="auto"/>
                              </w:divBdr>
                              <w:divsChild>
                                <w:div w:id="12342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750">
      <w:marLeft w:val="0"/>
      <w:marRight w:val="0"/>
      <w:marTop w:val="0"/>
      <w:marBottom w:val="0"/>
      <w:divBdr>
        <w:top w:val="none" w:sz="0" w:space="0" w:color="auto"/>
        <w:left w:val="none" w:sz="0" w:space="0" w:color="auto"/>
        <w:bottom w:val="none" w:sz="0" w:space="0" w:color="auto"/>
        <w:right w:val="none" w:sz="0" w:space="0" w:color="auto"/>
      </w:divBdr>
    </w:div>
    <w:div w:id="1234243751">
      <w:marLeft w:val="0"/>
      <w:marRight w:val="0"/>
      <w:marTop w:val="0"/>
      <w:marBottom w:val="0"/>
      <w:divBdr>
        <w:top w:val="none" w:sz="0" w:space="0" w:color="auto"/>
        <w:left w:val="none" w:sz="0" w:space="0" w:color="auto"/>
        <w:bottom w:val="none" w:sz="0" w:space="0" w:color="auto"/>
        <w:right w:val="none" w:sz="0" w:space="0" w:color="auto"/>
      </w:divBdr>
    </w:div>
    <w:div w:id="1234243752">
      <w:marLeft w:val="0"/>
      <w:marRight w:val="0"/>
      <w:marTop w:val="0"/>
      <w:marBottom w:val="0"/>
      <w:divBdr>
        <w:top w:val="none" w:sz="0" w:space="0" w:color="auto"/>
        <w:left w:val="none" w:sz="0" w:space="0" w:color="auto"/>
        <w:bottom w:val="none" w:sz="0" w:space="0" w:color="auto"/>
        <w:right w:val="none" w:sz="0" w:space="0" w:color="auto"/>
      </w:divBdr>
    </w:div>
    <w:div w:id="1234243753">
      <w:marLeft w:val="0"/>
      <w:marRight w:val="0"/>
      <w:marTop w:val="0"/>
      <w:marBottom w:val="0"/>
      <w:divBdr>
        <w:top w:val="none" w:sz="0" w:space="0" w:color="auto"/>
        <w:left w:val="none" w:sz="0" w:space="0" w:color="auto"/>
        <w:bottom w:val="none" w:sz="0" w:space="0" w:color="auto"/>
        <w:right w:val="none" w:sz="0" w:space="0" w:color="auto"/>
      </w:divBdr>
    </w:div>
    <w:div w:id="1234243754">
      <w:marLeft w:val="0"/>
      <w:marRight w:val="0"/>
      <w:marTop w:val="0"/>
      <w:marBottom w:val="0"/>
      <w:divBdr>
        <w:top w:val="none" w:sz="0" w:space="0" w:color="auto"/>
        <w:left w:val="none" w:sz="0" w:space="0" w:color="auto"/>
        <w:bottom w:val="none" w:sz="0" w:space="0" w:color="auto"/>
        <w:right w:val="none" w:sz="0" w:space="0" w:color="auto"/>
      </w:divBdr>
    </w:div>
    <w:div w:id="1234243757">
      <w:marLeft w:val="0"/>
      <w:marRight w:val="0"/>
      <w:marTop w:val="0"/>
      <w:marBottom w:val="0"/>
      <w:divBdr>
        <w:top w:val="none" w:sz="0" w:space="0" w:color="auto"/>
        <w:left w:val="none" w:sz="0" w:space="0" w:color="auto"/>
        <w:bottom w:val="none" w:sz="0" w:space="0" w:color="auto"/>
        <w:right w:val="none" w:sz="0" w:space="0" w:color="auto"/>
      </w:divBdr>
    </w:div>
    <w:div w:id="1234243761">
      <w:marLeft w:val="0"/>
      <w:marRight w:val="0"/>
      <w:marTop w:val="0"/>
      <w:marBottom w:val="0"/>
      <w:divBdr>
        <w:top w:val="none" w:sz="0" w:space="0" w:color="auto"/>
        <w:left w:val="none" w:sz="0" w:space="0" w:color="auto"/>
        <w:bottom w:val="none" w:sz="0" w:space="0" w:color="auto"/>
        <w:right w:val="none" w:sz="0" w:space="0" w:color="auto"/>
      </w:divBdr>
    </w:div>
    <w:div w:id="1234243768">
      <w:marLeft w:val="0"/>
      <w:marRight w:val="0"/>
      <w:marTop w:val="0"/>
      <w:marBottom w:val="0"/>
      <w:divBdr>
        <w:top w:val="none" w:sz="0" w:space="0" w:color="auto"/>
        <w:left w:val="none" w:sz="0" w:space="0" w:color="auto"/>
        <w:bottom w:val="none" w:sz="0" w:space="0" w:color="auto"/>
        <w:right w:val="none" w:sz="0" w:space="0" w:color="auto"/>
      </w:divBdr>
    </w:div>
    <w:div w:id="1234243769">
      <w:marLeft w:val="0"/>
      <w:marRight w:val="0"/>
      <w:marTop w:val="0"/>
      <w:marBottom w:val="0"/>
      <w:divBdr>
        <w:top w:val="none" w:sz="0" w:space="0" w:color="auto"/>
        <w:left w:val="none" w:sz="0" w:space="0" w:color="auto"/>
        <w:bottom w:val="none" w:sz="0" w:space="0" w:color="auto"/>
        <w:right w:val="none" w:sz="0" w:space="0" w:color="auto"/>
      </w:divBdr>
    </w:div>
    <w:div w:id="1234243770">
      <w:marLeft w:val="0"/>
      <w:marRight w:val="0"/>
      <w:marTop w:val="0"/>
      <w:marBottom w:val="0"/>
      <w:divBdr>
        <w:top w:val="none" w:sz="0" w:space="0" w:color="auto"/>
        <w:left w:val="none" w:sz="0" w:space="0" w:color="auto"/>
        <w:bottom w:val="none" w:sz="0" w:space="0" w:color="auto"/>
        <w:right w:val="none" w:sz="0" w:space="0" w:color="auto"/>
      </w:divBdr>
    </w:div>
    <w:div w:id="1234243774">
      <w:marLeft w:val="0"/>
      <w:marRight w:val="0"/>
      <w:marTop w:val="0"/>
      <w:marBottom w:val="0"/>
      <w:divBdr>
        <w:top w:val="none" w:sz="0" w:space="0" w:color="auto"/>
        <w:left w:val="none" w:sz="0" w:space="0" w:color="auto"/>
        <w:bottom w:val="none" w:sz="0" w:space="0" w:color="auto"/>
        <w:right w:val="none" w:sz="0" w:space="0" w:color="auto"/>
      </w:divBdr>
    </w:div>
    <w:div w:id="1234243775">
      <w:marLeft w:val="0"/>
      <w:marRight w:val="0"/>
      <w:marTop w:val="0"/>
      <w:marBottom w:val="0"/>
      <w:divBdr>
        <w:top w:val="none" w:sz="0" w:space="0" w:color="auto"/>
        <w:left w:val="none" w:sz="0" w:space="0" w:color="auto"/>
        <w:bottom w:val="none" w:sz="0" w:space="0" w:color="auto"/>
        <w:right w:val="none" w:sz="0" w:space="0" w:color="auto"/>
      </w:divBdr>
    </w:div>
    <w:div w:id="1234243778">
      <w:marLeft w:val="0"/>
      <w:marRight w:val="0"/>
      <w:marTop w:val="0"/>
      <w:marBottom w:val="0"/>
      <w:divBdr>
        <w:top w:val="none" w:sz="0" w:space="0" w:color="auto"/>
        <w:left w:val="none" w:sz="0" w:space="0" w:color="auto"/>
        <w:bottom w:val="none" w:sz="0" w:space="0" w:color="auto"/>
        <w:right w:val="none" w:sz="0" w:space="0" w:color="auto"/>
      </w:divBdr>
    </w:div>
    <w:div w:id="1234243779">
      <w:marLeft w:val="0"/>
      <w:marRight w:val="0"/>
      <w:marTop w:val="0"/>
      <w:marBottom w:val="0"/>
      <w:divBdr>
        <w:top w:val="none" w:sz="0" w:space="0" w:color="auto"/>
        <w:left w:val="none" w:sz="0" w:space="0" w:color="auto"/>
        <w:bottom w:val="none" w:sz="0" w:space="0" w:color="auto"/>
        <w:right w:val="none" w:sz="0" w:space="0" w:color="auto"/>
      </w:divBdr>
    </w:div>
    <w:div w:id="1234243781">
      <w:marLeft w:val="0"/>
      <w:marRight w:val="0"/>
      <w:marTop w:val="0"/>
      <w:marBottom w:val="0"/>
      <w:divBdr>
        <w:top w:val="none" w:sz="0" w:space="0" w:color="auto"/>
        <w:left w:val="none" w:sz="0" w:space="0" w:color="auto"/>
        <w:bottom w:val="none" w:sz="0" w:space="0" w:color="auto"/>
        <w:right w:val="none" w:sz="0" w:space="0" w:color="auto"/>
      </w:divBdr>
      <w:divsChild>
        <w:div w:id="1234243759">
          <w:marLeft w:val="0"/>
          <w:marRight w:val="0"/>
          <w:marTop w:val="0"/>
          <w:marBottom w:val="0"/>
          <w:divBdr>
            <w:top w:val="none" w:sz="0" w:space="0" w:color="auto"/>
            <w:left w:val="none" w:sz="0" w:space="0" w:color="auto"/>
            <w:bottom w:val="none" w:sz="0" w:space="0" w:color="auto"/>
            <w:right w:val="none" w:sz="0" w:space="0" w:color="auto"/>
          </w:divBdr>
          <w:divsChild>
            <w:div w:id="1234243472">
              <w:marLeft w:val="0"/>
              <w:marRight w:val="0"/>
              <w:marTop w:val="0"/>
              <w:marBottom w:val="0"/>
              <w:divBdr>
                <w:top w:val="none" w:sz="0" w:space="0" w:color="auto"/>
                <w:left w:val="none" w:sz="0" w:space="0" w:color="auto"/>
                <w:bottom w:val="none" w:sz="0" w:space="0" w:color="auto"/>
                <w:right w:val="none" w:sz="0" w:space="0" w:color="auto"/>
              </w:divBdr>
              <w:divsChild>
                <w:div w:id="1234243510">
                  <w:marLeft w:val="0"/>
                  <w:marRight w:val="0"/>
                  <w:marTop w:val="250"/>
                  <w:marBottom w:val="0"/>
                  <w:divBdr>
                    <w:top w:val="single" w:sz="4" w:space="0" w:color="CCCCCC"/>
                    <w:left w:val="none" w:sz="0" w:space="0" w:color="auto"/>
                    <w:bottom w:val="none" w:sz="0" w:space="0" w:color="auto"/>
                    <w:right w:val="none" w:sz="0" w:space="0" w:color="auto"/>
                  </w:divBdr>
                  <w:divsChild>
                    <w:div w:id="1234243524">
                      <w:marLeft w:val="326"/>
                      <w:marRight w:val="250"/>
                      <w:marTop w:val="125"/>
                      <w:marBottom w:val="250"/>
                      <w:divBdr>
                        <w:top w:val="none" w:sz="0" w:space="0" w:color="auto"/>
                        <w:left w:val="none" w:sz="0" w:space="0" w:color="auto"/>
                        <w:bottom w:val="none" w:sz="0" w:space="0" w:color="auto"/>
                        <w:right w:val="none" w:sz="0" w:space="0" w:color="auto"/>
                      </w:divBdr>
                      <w:divsChild>
                        <w:div w:id="1234243520">
                          <w:marLeft w:val="0"/>
                          <w:marRight w:val="0"/>
                          <w:marTop w:val="50"/>
                          <w:marBottom w:val="88"/>
                          <w:divBdr>
                            <w:top w:val="none" w:sz="0" w:space="0" w:color="auto"/>
                            <w:left w:val="none" w:sz="0" w:space="0" w:color="auto"/>
                            <w:bottom w:val="none" w:sz="0" w:space="0" w:color="auto"/>
                            <w:right w:val="none" w:sz="0" w:space="0" w:color="auto"/>
                          </w:divBdr>
                          <w:divsChild>
                            <w:div w:id="1234243802">
                              <w:marLeft w:val="0"/>
                              <w:marRight w:val="0"/>
                              <w:marTop w:val="0"/>
                              <w:marBottom w:val="0"/>
                              <w:divBdr>
                                <w:top w:val="none" w:sz="0" w:space="0" w:color="auto"/>
                                <w:left w:val="none" w:sz="0" w:space="0" w:color="auto"/>
                                <w:bottom w:val="none" w:sz="0" w:space="0" w:color="auto"/>
                                <w:right w:val="none" w:sz="0" w:space="0" w:color="auto"/>
                              </w:divBdr>
                              <w:divsChild>
                                <w:div w:id="12342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782">
      <w:marLeft w:val="0"/>
      <w:marRight w:val="0"/>
      <w:marTop w:val="0"/>
      <w:marBottom w:val="0"/>
      <w:divBdr>
        <w:top w:val="none" w:sz="0" w:space="0" w:color="auto"/>
        <w:left w:val="none" w:sz="0" w:space="0" w:color="auto"/>
        <w:bottom w:val="none" w:sz="0" w:space="0" w:color="auto"/>
        <w:right w:val="none" w:sz="0" w:space="0" w:color="auto"/>
      </w:divBdr>
    </w:div>
    <w:div w:id="1234243784">
      <w:marLeft w:val="0"/>
      <w:marRight w:val="0"/>
      <w:marTop w:val="0"/>
      <w:marBottom w:val="0"/>
      <w:divBdr>
        <w:top w:val="none" w:sz="0" w:space="0" w:color="auto"/>
        <w:left w:val="none" w:sz="0" w:space="0" w:color="auto"/>
        <w:bottom w:val="none" w:sz="0" w:space="0" w:color="auto"/>
        <w:right w:val="none" w:sz="0" w:space="0" w:color="auto"/>
      </w:divBdr>
    </w:div>
    <w:div w:id="1234243785">
      <w:marLeft w:val="0"/>
      <w:marRight w:val="0"/>
      <w:marTop w:val="0"/>
      <w:marBottom w:val="0"/>
      <w:divBdr>
        <w:top w:val="none" w:sz="0" w:space="0" w:color="auto"/>
        <w:left w:val="none" w:sz="0" w:space="0" w:color="auto"/>
        <w:bottom w:val="none" w:sz="0" w:space="0" w:color="auto"/>
        <w:right w:val="none" w:sz="0" w:space="0" w:color="auto"/>
      </w:divBdr>
    </w:div>
    <w:div w:id="1234243787">
      <w:marLeft w:val="0"/>
      <w:marRight w:val="0"/>
      <w:marTop w:val="0"/>
      <w:marBottom w:val="0"/>
      <w:divBdr>
        <w:top w:val="none" w:sz="0" w:space="0" w:color="auto"/>
        <w:left w:val="none" w:sz="0" w:space="0" w:color="auto"/>
        <w:bottom w:val="none" w:sz="0" w:space="0" w:color="auto"/>
        <w:right w:val="none" w:sz="0" w:space="0" w:color="auto"/>
      </w:divBdr>
    </w:div>
    <w:div w:id="1234243788">
      <w:marLeft w:val="0"/>
      <w:marRight w:val="0"/>
      <w:marTop w:val="0"/>
      <w:marBottom w:val="0"/>
      <w:divBdr>
        <w:top w:val="none" w:sz="0" w:space="0" w:color="auto"/>
        <w:left w:val="none" w:sz="0" w:space="0" w:color="auto"/>
        <w:bottom w:val="none" w:sz="0" w:space="0" w:color="auto"/>
        <w:right w:val="none" w:sz="0" w:space="0" w:color="auto"/>
      </w:divBdr>
      <w:divsChild>
        <w:div w:id="1234243522">
          <w:marLeft w:val="0"/>
          <w:marRight w:val="0"/>
          <w:marTop w:val="0"/>
          <w:marBottom w:val="0"/>
          <w:divBdr>
            <w:top w:val="none" w:sz="0" w:space="0" w:color="auto"/>
            <w:left w:val="none" w:sz="0" w:space="0" w:color="auto"/>
            <w:bottom w:val="none" w:sz="0" w:space="0" w:color="auto"/>
            <w:right w:val="none" w:sz="0" w:space="0" w:color="auto"/>
          </w:divBdr>
          <w:divsChild>
            <w:div w:id="1234243724">
              <w:marLeft w:val="0"/>
              <w:marRight w:val="0"/>
              <w:marTop w:val="0"/>
              <w:marBottom w:val="0"/>
              <w:divBdr>
                <w:top w:val="none" w:sz="0" w:space="0" w:color="auto"/>
                <w:left w:val="none" w:sz="0" w:space="0" w:color="auto"/>
                <w:bottom w:val="none" w:sz="0" w:space="0" w:color="auto"/>
                <w:right w:val="none" w:sz="0" w:space="0" w:color="auto"/>
              </w:divBdr>
              <w:divsChild>
                <w:div w:id="1234243521">
                  <w:marLeft w:val="0"/>
                  <w:marRight w:val="0"/>
                  <w:marTop w:val="300"/>
                  <w:marBottom w:val="0"/>
                  <w:divBdr>
                    <w:top w:val="single" w:sz="6" w:space="0" w:color="CCCCCC"/>
                    <w:left w:val="none" w:sz="0" w:space="0" w:color="auto"/>
                    <w:bottom w:val="none" w:sz="0" w:space="0" w:color="auto"/>
                    <w:right w:val="none" w:sz="0" w:space="0" w:color="auto"/>
                  </w:divBdr>
                  <w:divsChild>
                    <w:div w:id="1234243494">
                      <w:marLeft w:val="390"/>
                      <w:marRight w:val="300"/>
                      <w:marTop w:val="150"/>
                      <w:marBottom w:val="300"/>
                      <w:divBdr>
                        <w:top w:val="none" w:sz="0" w:space="0" w:color="auto"/>
                        <w:left w:val="none" w:sz="0" w:space="0" w:color="auto"/>
                        <w:bottom w:val="none" w:sz="0" w:space="0" w:color="auto"/>
                        <w:right w:val="none" w:sz="0" w:space="0" w:color="auto"/>
                      </w:divBdr>
                      <w:divsChild>
                        <w:div w:id="1234243631">
                          <w:marLeft w:val="0"/>
                          <w:marRight w:val="0"/>
                          <w:marTop w:val="60"/>
                          <w:marBottom w:val="105"/>
                          <w:divBdr>
                            <w:top w:val="none" w:sz="0" w:space="0" w:color="auto"/>
                            <w:left w:val="none" w:sz="0" w:space="0" w:color="auto"/>
                            <w:bottom w:val="none" w:sz="0" w:space="0" w:color="auto"/>
                            <w:right w:val="none" w:sz="0" w:space="0" w:color="auto"/>
                          </w:divBdr>
                          <w:divsChild>
                            <w:div w:id="1234243570">
                              <w:marLeft w:val="0"/>
                              <w:marRight w:val="0"/>
                              <w:marTop w:val="0"/>
                              <w:marBottom w:val="0"/>
                              <w:divBdr>
                                <w:top w:val="none" w:sz="0" w:space="0" w:color="auto"/>
                                <w:left w:val="none" w:sz="0" w:space="0" w:color="auto"/>
                                <w:bottom w:val="none" w:sz="0" w:space="0" w:color="auto"/>
                                <w:right w:val="none" w:sz="0" w:space="0" w:color="auto"/>
                              </w:divBdr>
                              <w:divsChild>
                                <w:div w:id="1234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790">
      <w:marLeft w:val="0"/>
      <w:marRight w:val="0"/>
      <w:marTop w:val="0"/>
      <w:marBottom w:val="0"/>
      <w:divBdr>
        <w:top w:val="none" w:sz="0" w:space="0" w:color="auto"/>
        <w:left w:val="none" w:sz="0" w:space="0" w:color="auto"/>
        <w:bottom w:val="none" w:sz="0" w:space="0" w:color="auto"/>
        <w:right w:val="none" w:sz="0" w:space="0" w:color="auto"/>
      </w:divBdr>
    </w:div>
    <w:div w:id="1234243791">
      <w:marLeft w:val="0"/>
      <w:marRight w:val="0"/>
      <w:marTop w:val="0"/>
      <w:marBottom w:val="0"/>
      <w:divBdr>
        <w:top w:val="none" w:sz="0" w:space="0" w:color="auto"/>
        <w:left w:val="none" w:sz="0" w:space="0" w:color="auto"/>
        <w:bottom w:val="none" w:sz="0" w:space="0" w:color="auto"/>
        <w:right w:val="none" w:sz="0" w:space="0" w:color="auto"/>
      </w:divBdr>
    </w:div>
    <w:div w:id="1234243797">
      <w:marLeft w:val="0"/>
      <w:marRight w:val="0"/>
      <w:marTop w:val="0"/>
      <w:marBottom w:val="0"/>
      <w:divBdr>
        <w:top w:val="none" w:sz="0" w:space="0" w:color="auto"/>
        <w:left w:val="none" w:sz="0" w:space="0" w:color="auto"/>
        <w:bottom w:val="none" w:sz="0" w:space="0" w:color="auto"/>
        <w:right w:val="none" w:sz="0" w:space="0" w:color="auto"/>
      </w:divBdr>
      <w:divsChild>
        <w:div w:id="1234243615">
          <w:marLeft w:val="0"/>
          <w:marRight w:val="0"/>
          <w:marTop w:val="0"/>
          <w:marBottom w:val="0"/>
          <w:divBdr>
            <w:top w:val="none" w:sz="0" w:space="0" w:color="auto"/>
            <w:left w:val="none" w:sz="0" w:space="0" w:color="auto"/>
            <w:bottom w:val="none" w:sz="0" w:space="0" w:color="auto"/>
            <w:right w:val="none" w:sz="0" w:space="0" w:color="auto"/>
          </w:divBdr>
          <w:divsChild>
            <w:div w:id="1234243644">
              <w:marLeft w:val="0"/>
              <w:marRight w:val="0"/>
              <w:marTop w:val="0"/>
              <w:marBottom w:val="0"/>
              <w:divBdr>
                <w:top w:val="none" w:sz="0" w:space="0" w:color="auto"/>
                <w:left w:val="none" w:sz="0" w:space="0" w:color="auto"/>
                <w:bottom w:val="none" w:sz="0" w:space="0" w:color="auto"/>
                <w:right w:val="none" w:sz="0" w:space="0" w:color="auto"/>
              </w:divBdr>
              <w:divsChild>
                <w:div w:id="1234243567">
                  <w:marLeft w:val="0"/>
                  <w:marRight w:val="0"/>
                  <w:marTop w:val="250"/>
                  <w:marBottom w:val="0"/>
                  <w:divBdr>
                    <w:top w:val="single" w:sz="4" w:space="0" w:color="CCCCCC"/>
                    <w:left w:val="none" w:sz="0" w:space="0" w:color="auto"/>
                    <w:bottom w:val="none" w:sz="0" w:space="0" w:color="auto"/>
                    <w:right w:val="none" w:sz="0" w:space="0" w:color="auto"/>
                  </w:divBdr>
                  <w:divsChild>
                    <w:div w:id="1234243702">
                      <w:marLeft w:val="326"/>
                      <w:marRight w:val="250"/>
                      <w:marTop w:val="125"/>
                      <w:marBottom w:val="250"/>
                      <w:divBdr>
                        <w:top w:val="none" w:sz="0" w:space="0" w:color="auto"/>
                        <w:left w:val="none" w:sz="0" w:space="0" w:color="auto"/>
                        <w:bottom w:val="none" w:sz="0" w:space="0" w:color="auto"/>
                        <w:right w:val="none" w:sz="0" w:space="0" w:color="auto"/>
                      </w:divBdr>
                      <w:divsChild>
                        <w:div w:id="1234243694">
                          <w:marLeft w:val="0"/>
                          <w:marRight w:val="0"/>
                          <w:marTop w:val="50"/>
                          <w:marBottom w:val="88"/>
                          <w:divBdr>
                            <w:top w:val="none" w:sz="0" w:space="0" w:color="auto"/>
                            <w:left w:val="none" w:sz="0" w:space="0" w:color="auto"/>
                            <w:bottom w:val="none" w:sz="0" w:space="0" w:color="auto"/>
                            <w:right w:val="none" w:sz="0" w:space="0" w:color="auto"/>
                          </w:divBdr>
                          <w:divsChild>
                            <w:div w:id="1234243703">
                              <w:marLeft w:val="0"/>
                              <w:marRight w:val="0"/>
                              <w:marTop w:val="0"/>
                              <w:marBottom w:val="0"/>
                              <w:divBdr>
                                <w:top w:val="none" w:sz="0" w:space="0" w:color="auto"/>
                                <w:left w:val="none" w:sz="0" w:space="0" w:color="auto"/>
                                <w:bottom w:val="none" w:sz="0" w:space="0" w:color="auto"/>
                                <w:right w:val="none" w:sz="0" w:space="0" w:color="auto"/>
                              </w:divBdr>
                              <w:divsChild>
                                <w:div w:id="12342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3800">
      <w:marLeft w:val="0"/>
      <w:marRight w:val="0"/>
      <w:marTop w:val="0"/>
      <w:marBottom w:val="0"/>
      <w:divBdr>
        <w:top w:val="none" w:sz="0" w:space="0" w:color="auto"/>
        <w:left w:val="none" w:sz="0" w:space="0" w:color="auto"/>
        <w:bottom w:val="none" w:sz="0" w:space="0" w:color="auto"/>
        <w:right w:val="none" w:sz="0" w:space="0" w:color="auto"/>
      </w:divBdr>
    </w:div>
    <w:div w:id="1234243801">
      <w:marLeft w:val="0"/>
      <w:marRight w:val="0"/>
      <w:marTop w:val="0"/>
      <w:marBottom w:val="0"/>
      <w:divBdr>
        <w:top w:val="none" w:sz="0" w:space="0" w:color="auto"/>
        <w:left w:val="none" w:sz="0" w:space="0" w:color="auto"/>
        <w:bottom w:val="none" w:sz="0" w:space="0" w:color="auto"/>
        <w:right w:val="none" w:sz="0" w:space="0" w:color="auto"/>
      </w:divBdr>
    </w:div>
    <w:div w:id="1234243804">
      <w:marLeft w:val="0"/>
      <w:marRight w:val="0"/>
      <w:marTop w:val="0"/>
      <w:marBottom w:val="0"/>
      <w:divBdr>
        <w:top w:val="none" w:sz="0" w:space="0" w:color="auto"/>
        <w:left w:val="none" w:sz="0" w:space="0" w:color="auto"/>
        <w:bottom w:val="none" w:sz="0" w:space="0" w:color="auto"/>
        <w:right w:val="none" w:sz="0" w:space="0" w:color="auto"/>
      </w:divBdr>
    </w:div>
    <w:div w:id="1234243806">
      <w:marLeft w:val="0"/>
      <w:marRight w:val="0"/>
      <w:marTop w:val="0"/>
      <w:marBottom w:val="0"/>
      <w:divBdr>
        <w:top w:val="none" w:sz="0" w:space="0" w:color="auto"/>
        <w:left w:val="none" w:sz="0" w:space="0" w:color="auto"/>
        <w:bottom w:val="none" w:sz="0" w:space="0" w:color="auto"/>
        <w:right w:val="none" w:sz="0" w:space="0" w:color="auto"/>
      </w:divBdr>
    </w:div>
    <w:div w:id="1234243807">
      <w:marLeft w:val="0"/>
      <w:marRight w:val="0"/>
      <w:marTop w:val="0"/>
      <w:marBottom w:val="0"/>
      <w:divBdr>
        <w:top w:val="none" w:sz="0" w:space="0" w:color="auto"/>
        <w:left w:val="none" w:sz="0" w:space="0" w:color="auto"/>
        <w:bottom w:val="none" w:sz="0" w:space="0" w:color="auto"/>
        <w:right w:val="none" w:sz="0" w:space="0" w:color="auto"/>
      </w:divBdr>
    </w:div>
    <w:div w:id="1234243808">
      <w:marLeft w:val="0"/>
      <w:marRight w:val="0"/>
      <w:marTop w:val="0"/>
      <w:marBottom w:val="0"/>
      <w:divBdr>
        <w:top w:val="none" w:sz="0" w:space="0" w:color="auto"/>
        <w:left w:val="none" w:sz="0" w:space="0" w:color="auto"/>
        <w:bottom w:val="none" w:sz="0" w:space="0" w:color="auto"/>
        <w:right w:val="none" w:sz="0" w:space="0" w:color="auto"/>
      </w:divBdr>
    </w:div>
    <w:div w:id="1234243809">
      <w:marLeft w:val="0"/>
      <w:marRight w:val="0"/>
      <w:marTop w:val="0"/>
      <w:marBottom w:val="0"/>
      <w:divBdr>
        <w:top w:val="none" w:sz="0" w:space="0" w:color="auto"/>
        <w:left w:val="none" w:sz="0" w:space="0" w:color="auto"/>
        <w:bottom w:val="none" w:sz="0" w:space="0" w:color="auto"/>
        <w:right w:val="none" w:sz="0" w:space="0" w:color="auto"/>
      </w:divBdr>
    </w:div>
    <w:div w:id="1234243810">
      <w:marLeft w:val="0"/>
      <w:marRight w:val="0"/>
      <w:marTop w:val="0"/>
      <w:marBottom w:val="0"/>
      <w:divBdr>
        <w:top w:val="none" w:sz="0" w:space="0" w:color="auto"/>
        <w:left w:val="none" w:sz="0" w:space="0" w:color="auto"/>
        <w:bottom w:val="none" w:sz="0" w:space="0" w:color="auto"/>
        <w:right w:val="none" w:sz="0" w:space="0" w:color="auto"/>
      </w:divBdr>
    </w:div>
    <w:div w:id="1234243814">
      <w:marLeft w:val="0"/>
      <w:marRight w:val="0"/>
      <w:marTop w:val="0"/>
      <w:marBottom w:val="0"/>
      <w:divBdr>
        <w:top w:val="none" w:sz="0" w:space="0" w:color="auto"/>
        <w:left w:val="none" w:sz="0" w:space="0" w:color="auto"/>
        <w:bottom w:val="none" w:sz="0" w:space="0" w:color="auto"/>
        <w:right w:val="none" w:sz="0" w:space="0" w:color="auto"/>
      </w:divBdr>
    </w:div>
    <w:div w:id="1263219677">
      <w:bodyDiv w:val="1"/>
      <w:marLeft w:val="0"/>
      <w:marRight w:val="0"/>
      <w:marTop w:val="0"/>
      <w:marBottom w:val="0"/>
      <w:divBdr>
        <w:top w:val="none" w:sz="0" w:space="0" w:color="auto"/>
        <w:left w:val="none" w:sz="0" w:space="0" w:color="auto"/>
        <w:bottom w:val="none" w:sz="0" w:space="0" w:color="auto"/>
        <w:right w:val="none" w:sz="0" w:space="0" w:color="auto"/>
      </w:divBdr>
      <w:divsChild>
        <w:div w:id="1241982140">
          <w:marLeft w:val="0"/>
          <w:marRight w:val="0"/>
          <w:marTop w:val="0"/>
          <w:marBottom w:val="0"/>
          <w:divBdr>
            <w:top w:val="none" w:sz="0" w:space="0" w:color="auto"/>
            <w:left w:val="none" w:sz="0" w:space="0" w:color="auto"/>
            <w:bottom w:val="none" w:sz="0" w:space="0" w:color="auto"/>
            <w:right w:val="none" w:sz="0" w:space="0" w:color="auto"/>
          </w:divBdr>
          <w:divsChild>
            <w:div w:id="945697577">
              <w:marLeft w:val="0"/>
              <w:marRight w:val="0"/>
              <w:marTop w:val="0"/>
              <w:marBottom w:val="0"/>
              <w:divBdr>
                <w:top w:val="none" w:sz="0" w:space="0" w:color="auto"/>
                <w:left w:val="none" w:sz="0" w:space="0" w:color="auto"/>
                <w:bottom w:val="none" w:sz="0" w:space="0" w:color="auto"/>
                <w:right w:val="none" w:sz="0" w:space="0" w:color="auto"/>
              </w:divBdr>
              <w:divsChild>
                <w:div w:id="1339696679">
                  <w:marLeft w:val="0"/>
                  <w:marRight w:val="0"/>
                  <w:marTop w:val="300"/>
                  <w:marBottom w:val="0"/>
                  <w:divBdr>
                    <w:top w:val="single" w:sz="6" w:space="0" w:color="CCCCCC"/>
                    <w:left w:val="none" w:sz="0" w:space="0" w:color="auto"/>
                    <w:bottom w:val="none" w:sz="0" w:space="0" w:color="auto"/>
                    <w:right w:val="none" w:sz="0" w:space="0" w:color="auto"/>
                  </w:divBdr>
                  <w:divsChild>
                    <w:div w:id="499660681">
                      <w:marLeft w:val="390"/>
                      <w:marRight w:val="300"/>
                      <w:marTop w:val="150"/>
                      <w:marBottom w:val="300"/>
                      <w:divBdr>
                        <w:top w:val="none" w:sz="0" w:space="0" w:color="auto"/>
                        <w:left w:val="none" w:sz="0" w:space="0" w:color="auto"/>
                        <w:bottom w:val="none" w:sz="0" w:space="0" w:color="auto"/>
                        <w:right w:val="none" w:sz="0" w:space="0" w:color="auto"/>
                      </w:divBdr>
                      <w:divsChild>
                        <w:div w:id="297493118">
                          <w:marLeft w:val="0"/>
                          <w:marRight w:val="0"/>
                          <w:marTop w:val="60"/>
                          <w:marBottom w:val="105"/>
                          <w:divBdr>
                            <w:top w:val="none" w:sz="0" w:space="0" w:color="auto"/>
                            <w:left w:val="none" w:sz="0" w:space="0" w:color="auto"/>
                            <w:bottom w:val="none" w:sz="0" w:space="0" w:color="auto"/>
                            <w:right w:val="none" w:sz="0" w:space="0" w:color="auto"/>
                          </w:divBdr>
                          <w:divsChild>
                            <w:div w:id="2054426569">
                              <w:marLeft w:val="0"/>
                              <w:marRight w:val="0"/>
                              <w:marTop w:val="0"/>
                              <w:marBottom w:val="0"/>
                              <w:divBdr>
                                <w:top w:val="none" w:sz="0" w:space="0" w:color="auto"/>
                                <w:left w:val="none" w:sz="0" w:space="0" w:color="auto"/>
                                <w:bottom w:val="none" w:sz="0" w:space="0" w:color="auto"/>
                                <w:right w:val="none" w:sz="0" w:space="0" w:color="auto"/>
                              </w:divBdr>
                              <w:divsChild>
                                <w:div w:id="5498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35359">
      <w:bodyDiv w:val="1"/>
      <w:marLeft w:val="0"/>
      <w:marRight w:val="0"/>
      <w:marTop w:val="0"/>
      <w:marBottom w:val="0"/>
      <w:divBdr>
        <w:top w:val="none" w:sz="0" w:space="0" w:color="auto"/>
        <w:left w:val="none" w:sz="0" w:space="0" w:color="auto"/>
        <w:bottom w:val="none" w:sz="0" w:space="0" w:color="auto"/>
        <w:right w:val="none" w:sz="0" w:space="0" w:color="auto"/>
      </w:divBdr>
    </w:div>
    <w:div w:id="1902863266">
      <w:bodyDiv w:val="1"/>
      <w:marLeft w:val="0"/>
      <w:marRight w:val="0"/>
      <w:marTop w:val="0"/>
      <w:marBottom w:val="0"/>
      <w:divBdr>
        <w:top w:val="none" w:sz="0" w:space="0" w:color="auto"/>
        <w:left w:val="none" w:sz="0" w:space="0" w:color="auto"/>
        <w:bottom w:val="none" w:sz="0" w:space="0" w:color="auto"/>
        <w:right w:val="none" w:sz="0" w:space="0" w:color="auto"/>
      </w:divBdr>
      <w:divsChild>
        <w:div w:id="958342036">
          <w:marLeft w:val="0"/>
          <w:marRight w:val="0"/>
          <w:marTop w:val="0"/>
          <w:marBottom w:val="0"/>
          <w:divBdr>
            <w:top w:val="none" w:sz="0" w:space="0" w:color="auto"/>
            <w:left w:val="none" w:sz="0" w:space="0" w:color="auto"/>
            <w:bottom w:val="none" w:sz="0" w:space="0" w:color="auto"/>
            <w:right w:val="none" w:sz="0" w:space="0" w:color="auto"/>
          </w:divBdr>
          <w:divsChild>
            <w:div w:id="77362052">
              <w:marLeft w:val="0"/>
              <w:marRight w:val="0"/>
              <w:marTop w:val="0"/>
              <w:marBottom w:val="0"/>
              <w:divBdr>
                <w:top w:val="none" w:sz="0" w:space="0" w:color="auto"/>
                <w:left w:val="none" w:sz="0" w:space="0" w:color="auto"/>
                <w:bottom w:val="none" w:sz="0" w:space="0" w:color="auto"/>
                <w:right w:val="none" w:sz="0" w:space="0" w:color="auto"/>
              </w:divBdr>
              <w:divsChild>
                <w:div w:id="91751087">
                  <w:marLeft w:val="0"/>
                  <w:marRight w:val="0"/>
                  <w:marTop w:val="300"/>
                  <w:marBottom w:val="0"/>
                  <w:divBdr>
                    <w:top w:val="single" w:sz="6" w:space="0" w:color="CCCCCC"/>
                    <w:left w:val="none" w:sz="0" w:space="0" w:color="auto"/>
                    <w:bottom w:val="none" w:sz="0" w:space="0" w:color="auto"/>
                    <w:right w:val="none" w:sz="0" w:space="0" w:color="auto"/>
                  </w:divBdr>
                  <w:divsChild>
                    <w:div w:id="1204560770">
                      <w:marLeft w:val="390"/>
                      <w:marRight w:val="300"/>
                      <w:marTop w:val="150"/>
                      <w:marBottom w:val="300"/>
                      <w:divBdr>
                        <w:top w:val="none" w:sz="0" w:space="0" w:color="auto"/>
                        <w:left w:val="none" w:sz="0" w:space="0" w:color="auto"/>
                        <w:bottom w:val="none" w:sz="0" w:space="0" w:color="auto"/>
                        <w:right w:val="none" w:sz="0" w:space="0" w:color="auto"/>
                      </w:divBdr>
                      <w:divsChild>
                        <w:div w:id="1235894902">
                          <w:marLeft w:val="0"/>
                          <w:marRight w:val="0"/>
                          <w:marTop w:val="60"/>
                          <w:marBottom w:val="105"/>
                          <w:divBdr>
                            <w:top w:val="none" w:sz="0" w:space="0" w:color="auto"/>
                            <w:left w:val="none" w:sz="0" w:space="0" w:color="auto"/>
                            <w:bottom w:val="none" w:sz="0" w:space="0" w:color="auto"/>
                            <w:right w:val="none" w:sz="0" w:space="0" w:color="auto"/>
                          </w:divBdr>
                          <w:divsChild>
                            <w:div w:id="312221980">
                              <w:marLeft w:val="0"/>
                              <w:marRight w:val="0"/>
                              <w:marTop w:val="0"/>
                              <w:marBottom w:val="0"/>
                              <w:divBdr>
                                <w:top w:val="none" w:sz="0" w:space="0" w:color="auto"/>
                                <w:left w:val="none" w:sz="0" w:space="0" w:color="auto"/>
                                <w:bottom w:val="none" w:sz="0" w:space="0" w:color="auto"/>
                                <w:right w:val="none" w:sz="0" w:space="0" w:color="auto"/>
                              </w:divBdr>
                              <w:divsChild>
                                <w:div w:id="5994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0DCF-0E3D-4E25-8C97-F203B0BD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4933</Words>
  <Characters>27020</Characters>
  <Application>Microsoft Office Word</Application>
  <DocSecurity>0</DocSecurity>
  <Lines>225</Lines>
  <Paragraphs>63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INCAP OYJ</vt:lpstr>
      <vt:lpstr>INCAP OYJ</vt:lpstr>
    </vt:vector>
  </TitlesOfParts>
  <Company>Incap Oyj</Company>
  <LinksUpToDate>false</LinksUpToDate>
  <CharactersWithSpaces>31890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INCAP OYJ</dc:title>
  <dc:creator>joaviile</dc:creator>
  <cp:lastModifiedBy>Pöllä, Hannele</cp:lastModifiedBy>
  <cp:revision>7</cp:revision>
  <cp:lastPrinted>2015-08-05T20:41:00Z</cp:lastPrinted>
  <dcterms:created xsi:type="dcterms:W3CDTF">2015-08-05T12:34:00Z</dcterms:created>
  <dcterms:modified xsi:type="dcterms:W3CDTF">2015-08-11T07:30:00Z</dcterms:modified>
</cp:coreProperties>
</file>